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0CA" w:rsidRDefault="00DF169E">
      <w:pPr>
        <w:spacing w:line="600" w:lineRule="exact"/>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团体标准《地理标志证明商标  环江菜牛》（征求意见稿）编制说明</w:t>
      </w:r>
    </w:p>
    <w:p w:rsidR="002920CA" w:rsidRDefault="00DF169E">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2920CA" w:rsidRDefault="00DF169E">
      <w:pPr>
        <w:ind w:firstLine="640"/>
        <w:rPr>
          <w:rFonts w:ascii="仿宋_GB2312" w:hAnsi="宋体"/>
          <w:szCs w:val="28"/>
        </w:rPr>
      </w:pPr>
      <w:bookmarkStart w:id="0" w:name="OLE_LINK10"/>
      <w:bookmarkStart w:id="1" w:name="OLE_LINK11"/>
      <w:r>
        <w:rPr>
          <w:rFonts w:ascii="仿宋_GB2312" w:hAnsi="宋体" w:hint="eastAsia"/>
          <w:szCs w:val="28"/>
        </w:rPr>
        <w:t>根据《广西标准化协会关于下达2025年第二十一批团体标准制修订项目计划的通知》（桂标协〔2025〕154号）文件精神，由</w:t>
      </w:r>
      <w:r>
        <w:rPr>
          <w:rFonts w:hint="eastAsia"/>
          <w:color w:val="000000"/>
          <w:szCs w:val="21"/>
        </w:rPr>
        <w:t>环江毛南族自治县农业农村局</w:t>
      </w:r>
      <w:r>
        <w:rPr>
          <w:rFonts w:ascii="仿宋_GB2312" w:hAnsi="宋体" w:hint="eastAsia"/>
          <w:szCs w:val="28"/>
        </w:rPr>
        <w:t>提出，</w:t>
      </w:r>
      <w:r>
        <w:rPr>
          <w:rFonts w:hint="eastAsia"/>
          <w:color w:val="000000"/>
          <w:szCs w:val="21"/>
        </w:rPr>
        <w:t>环江毛南族自治县县市场监督管理局、环江毛南族自治县农业农村局、环</w:t>
      </w:r>
      <w:bookmarkStart w:id="2" w:name="_GoBack"/>
      <w:bookmarkEnd w:id="2"/>
      <w:r>
        <w:rPr>
          <w:rFonts w:hint="eastAsia"/>
          <w:color w:val="000000"/>
          <w:szCs w:val="21"/>
        </w:rPr>
        <w:t>江毛南族自治县畜牧站</w:t>
      </w:r>
      <w:r w:rsidR="009C4CAC">
        <w:rPr>
          <w:rFonts w:hint="eastAsia"/>
          <w:color w:val="000000"/>
          <w:szCs w:val="21"/>
        </w:rPr>
        <w:t>、</w:t>
      </w:r>
      <w:r w:rsidR="009C4CAC" w:rsidRPr="009C4CAC">
        <w:rPr>
          <w:rFonts w:hint="eastAsia"/>
          <w:color w:val="000000"/>
          <w:szCs w:val="21"/>
        </w:rPr>
        <w:t>中国科学院亚热带农业生态研究所</w:t>
      </w:r>
      <w:r>
        <w:rPr>
          <w:rFonts w:ascii="仿宋_GB2312" w:hAnsi="宋体" w:hint="eastAsia"/>
          <w:szCs w:val="28"/>
        </w:rPr>
        <w:t>等单位共同起草的团体标准</w:t>
      </w:r>
      <w:bookmarkEnd w:id="0"/>
      <w:bookmarkEnd w:id="1"/>
      <w:r>
        <w:rPr>
          <w:rFonts w:ascii="仿宋_GB2312" w:hAnsi="宋体" w:hint="eastAsia"/>
          <w:szCs w:val="28"/>
        </w:rPr>
        <w:t>《地理标志证明商标  环江菜牛》（项目编号：2025-2108）已获批立项。</w:t>
      </w:r>
    </w:p>
    <w:p w:rsidR="002920CA" w:rsidRDefault="00DF169E">
      <w:pPr>
        <w:ind w:firstLine="640"/>
        <w:rPr>
          <w:rFonts w:ascii="仿宋_GB2312" w:hAnsi="宋体"/>
          <w:szCs w:val="28"/>
        </w:rPr>
      </w:pPr>
      <w:r>
        <w:rPr>
          <w:rFonts w:ascii="仿宋_GB2312" w:hAnsi="宋体" w:hint="eastAsia"/>
          <w:szCs w:val="28"/>
        </w:rPr>
        <w:t>为高质量编制团体标准《地理标志证明商标  环江菜牛》，由起草单位成立标准编制工作组并进行如下分工：</w:t>
      </w:r>
    </w:p>
    <w:tbl>
      <w:tblPr>
        <w:tblW w:w="5158" w:type="pct"/>
        <w:tblLook w:val="04A0" w:firstRow="1" w:lastRow="0" w:firstColumn="1" w:lastColumn="0" w:noHBand="0" w:noVBand="1"/>
      </w:tblPr>
      <w:tblGrid>
        <w:gridCol w:w="1525"/>
        <w:gridCol w:w="1418"/>
        <w:gridCol w:w="2334"/>
        <w:gridCol w:w="4187"/>
      </w:tblGrid>
      <w:tr w:rsidR="002920CA">
        <w:trPr>
          <w:cantSplit/>
          <w:trHeight w:val="576"/>
        </w:trPr>
        <w:tc>
          <w:tcPr>
            <w:tcW w:w="806" w:type="pct"/>
            <w:tcBorders>
              <w:top w:val="single" w:sz="4" w:space="0" w:color="auto"/>
              <w:left w:val="single" w:sz="4" w:space="0" w:color="auto"/>
              <w:bottom w:val="single" w:sz="4" w:space="0" w:color="auto"/>
              <w:right w:val="single" w:sz="4" w:space="0" w:color="auto"/>
            </w:tcBorders>
            <w:vAlign w:val="center"/>
          </w:tcPr>
          <w:p w:rsidR="002920CA" w:rsidRDefault="00DF169E">
            <w:pPr>
              <w:ind w:firstLineChars="0" w:firstLine="0"/>
              <w:jc w:val="center"/>
              <w:rPr>
                <w:rFonts w:eastAsia="仿宋"/>
                <w:b/>
                <w:bCs/>
                <w:sz w:val="24"/>
              </w:rPr>
            </w:pPr>
            <w:r>
              <w:rPr>
                <w:rFonts w:eastAsia="仿宋"/>
                <w:b/>
                <w:bCs/>
                <w:sz w:val="24"/>
              </w:rPr>
              <w:t>姓</w:t>
            </w:r>
            <w:r>
              <w:rPr>
                <w:rFonts w:eastAsia="仿宋"/>
                <w:b/>
                <w:bCs/>
                <w:sz w:val="24"/>
              </w:rPr>
              <w:t xml:space="preserve">  </w:t>
            </w:r>
            <w:r>
              <w:rPr>
                <w:rFonts w:eastAsia="仿宋"/>
                <w:b/>
                <w:bCs/>
                <w:sz w:val="24"/>
              </w:rPr>
              <w:t>名</w:t>
            </w:r>
          </w:p>
        </w:tc>
        <w:tc>
          <w:tcPr>
            <w:tcW w:w="749" w:type="pct"/>
            <w:tcBorders>
              <w:top w:val="single" w:sz="4" w:space="0" w:color="auto"/>
              <w:left w:val="single" w:sz="4" w:space="0" w:color="auto"/>
              <w:bottom w:val="single" w:sz="4" w:space="0" w:color="auto"/>
              <w:right w:val="single" w:sz="4" w:space="0" w:color="auto"/>
            </w:tcBorders>
            <w:vAlign w:val="center"/>
          </w:tcPr>
          <w:p w:rsidR="002920CA" w:rsidRDefault="00DF169E">
            <w:pPr>
              <w:ind w:firstLineChars="0" w:firstLine="0"/>
              <w:jc w:val="center"/>
              <w:rPr>
                <w:rFonts w:eastAsia="仿宋"/>
                <w:b/>
                <w:bCs/>
                <w:sz w:val="24"/>
              </w:rPr>
            </w:pPr>
            <w:r>
              <w:rPr>
                <w:rFonts w:eastAsia="仿宋"/>
                <w:b/>
                <w:bCs/>
                <w:sz w:val="24"/>
              </w:rPr>
              <w:t>职称</w:t>
            </w:r>
            <w:r>
              <w:rPr>
                <w:rFonts w:eastAsia="仿宋"/>
                <w:b/>
                <w:bCs/>
                <w:sz w:val="24"/>
              </w:rPr>
              <w:t>/</w:t>
            </w:r>
            <w:r>
              <w:rPr>
                <w:rFonts w:eastAsia="仿宋"/>
                <w:b/>
                <w:bCs/>
                <w:sz w:val="24"/>
              </w:rPr>
              <w:t>职位</w:t>
            </w:r>
          </w:p>
        </w:tc>
        <w:tc>
          <w:tcPr>
            <w:tcW w:w="1233" w:type="pct"/>
            <w:tcBorders>
              <w:top w:val="single" w:sz="4" w:space="0" w:color="auto"/>
              <w:left w:val="single" w:sz="4" w:space="0" w:color="auto"/>
              <w:bottom w:val="single" w:sz="4" w:space="0" w:color="auto"/>
              <w:right w:val="single" w:sz="4" w:space="0" w:color="auto"/>
            </w:tcBorders>
            <w:vAlign w:val="center"/>
          </w:tcPr>
          <w:p w:rsidR="002920CA" w:rsidRDefault="00DF169E">
            <w:pPr>
              <w:ind w:firstLineChars="0" w:firstLine="0"/>
              <w:jc w:val="center"/>
              <w:rPr>
                <w:rFonts w:eastAsia="仿宋"/>
                <w:b/>
                <w:bCs/>
                <w:sz w:val="24"/>
              </w:rPr>
            </w:pPr>
            <w:r>
              <w:rPr>
                <w:rFonts w:eastAsia="仿宋"/>
                <w:b/>
                <w:bCs/>
                <w:sz w:val="24"/>
              </w:rPr>
              <w:t>工作单位</w:t>
            </w:r>
          </w:p>
        </w:tc>
        <w:tc>
          <w:tcPr>
            <w:tcW w:w="2212" w:type="pct"/>
            <w:tcBorders>
              <w:top w:val="single" w:sz="4" w:space="0" w:color="auto"/>
              <w:left w:val="single" w:sz="4" w:space="0" w:color="auto"/>
              <w:bottom w:val="single" w:sz="4" w:space="0" w:color="auto"/>
              <w:right w:val="single" w:sz="4" w:space="0" w:color="auto"/>
            </w:tcBorders>
            <w:vAlign w:val="center"/>
          </w:tcPr>
          <w:p w:rsidR="002920CA" w:rsidRDefault="00DF169E">
            <w:pPr>
              <w:ind w:firstLineChars="0" w:firstLine="0"/>
              <w:jc w:val="center"/>
              <w:rPr>
                <w:rFonts w:eastAsia="仿宋"/>
                <w:b/>
                <w:bCs/>
                <w:sz w:val="24"/>
              </w:rPr>
            </w:pPr>
            <w:r>
              <w:rPr>
                <w:rFonts w:eastAsia="仿宋"/>
                <w:b/>
                <w:bCs/>
                <w:sz w:val="24"/>
              </w:rPr>
              <w:t>主要负责工作</w:t>
            </w:r>
          </w:p>
        </w:tc>
      </w:tr>
      <w:tr w:rsidR="008F0BDB">
        <w:trPr>
          <w:cantSplit/>
          <w:trHeight w:val="576"/>
        </w:trPr>
        <w:tc>
          <w:tcPr>
            <w:tcW w:w="806" w:type="pct"/>
            <w:tcBorders>
              <w:top w:val="single" w:sz="4" w:space="0" w:color="auto"/>
              <w:left w:val="single" w:sz="4" w:space="0" w:color="auto"/>
              <w:bottom w:val="single" w:sz="4" w:space="0" w:color="auto"/>
              <w:right w:val="single" w:sz="4" w:space="0" w:color="auto"/>
            </w:tcBorders>
            <w:vAlign w:val="center"/>
          </w:tcPr>
          <w:p w:rsidR="008F0BDB" w:rsidRPr="009E5236" w:rsidRDefault="008F0BDB" w:rsidP="00877A2B">
            <w:pPr>
              <w:ind w:firstLineChars="0" w:firstLine="0"/>
              <w:jc w:val="center"/>
              <w:rPr>
                <w:rFonts w:ascii="仿宋_GB2312" w:hAnsi="仿宋_GB2312" w:cs="仿宋_GB2312"/>
                <w:sz w:val="24"/>
                <w:lang w:bidi="ar"/>
              </w:rPr>
            </w:pPr>
            <w:r w:rsidRPr="009E5236">
              <w:rPr>
                <w:rFonts w:ascii="仿宋_GB2312" w:hAnsi="仿宋_GB2312" w:cs="仿宋_GB2312" w:hint="eastAsia"/>
                <w:sz w:val="24"/>
                <w:lang w:bidi="ar"/>
              </w:rPr>
              <w:t>聂云鹏</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Pr="009E5236" w:rsidRDefault="008F0BDB" w:rsidP="00877A2B">
            <w:pPr>
              <w:ind w:firstLineChars="0" w:firstLine="0"/>
              <w:jc w:val="center"/>
              <w:rPr>
                <w:rFonts w:ascii="仿宋_GB2312" w:hAnsi="仿宋_GB2312" w:cs="仿宋_GB2312"/>
                <w:sz w:val="24"/>
                <w:lang w:bidi="ar"/>
              </w:rPr>
            </w:pPr>
            <w:r w:rsidRPr="009E5236">
              <w:rPr>
                <w:rFonts w:ascii="仿宋_GB2312" w:hAnsi="仿宋_GB2312" w:cs="仿宋_GB2312" w:hint="eastAsia"/>
                <w:sz w:val="24"/>
                <w:lang w:bidi="ar"/>
              </w:rPr>
              <w:t>研究员</w:t>
            </w:r>
          </w:p>
        </w:tc>
        <w:tc>
          <w:tcPr>
            <w:tcW w:w="1233" w:type="pct"/>
            <w:tcBorders>
              <w:top w:val="single" w:sz="4" w:space="0" w:color="auto"/>
              <w:left w:val="single" w:sz="4" w:space="0" w:color="auto"/>
              <w:bottom w:val="single" w:sz="4" w:space="0" w:color="auto"/>
              <w:right w:val="single" w:sz="4" w:space="0" w:color="auto"/>
            </w:tcBorders>
            <w:vAlign w:val="center"/>
          </w:tcPr>
          <w:p w:rsidR="008F0BDB" w:rsidRPr="00A84260" w:rsidRDefault="008F0BDB" w:rsidP="00877A2B">
            <w:pPr>
              <w:ind w:firstLineChars="0" w:firstLine="0"/>
              <w:jc w:val="center"/>
              <w:rPr>
                <w:rFonts w:ascii="仿宋_GB2312" w:hAnsi="仿宋_GB2312" w:cs="仿宋_GB2312"/>
                <w:sz w:val="24"/>
                <w:lang w:bidi="ar"/>
              </w:rPr>
            </w:pPr>
            <w:r w:rsidRPr="00A84260">
              <w:rPr>
                <w:rFonts w:ascii="仿宋_GB2312" w:hAnsi="仿宋_GB2312" w:cs="仿宋_GB2312" w:hint="eastAsia"/>
                <w:sz w:val="24"/>
                <w:lang w:bidi="ar"/>
              </w:rPr>
              <w:t>中国科学院亚热带农业生态研究所</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Pr="00A84260" w:rsidRDefault="008F0BDB" w:rsidP="00877A2B">
            <w:pPr>
              <w:ind w:firstLineChars="0" w:firstLine="0"/>
              <w:rPr>
                <w:rFonts w:ascii="仿宋_GB2312" w:hAnsi="仿宋_GB2312" w:cs="仿宋_GB2312"/>
                <w:sz w:val="24"/>
                <w:lang w:bidi="ar"/>
              </w:rPr>
            </w:pPr>
            <w:r>
              <w:rPr>
                <w:rFonts w:ascii="仿宋_GB2312" w:hAnsi="仿宋_GB2312" w:cs="仿宋_GB2312" w:hint="eastAsia"/>
                <w:sz w:val="24"/>
                <w:lang w:bidi="ar"/>
              </w:rPr>
              <w:t>统筹主持标准编制工作。</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覃水平</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兽医师</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环江毛南族自治县畜牧站</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rsidP="00877A2B">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莫殿宝</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高级畜牧师</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bookmarkStart w:id="3" w:name="OLE_LINK6"/>
            <w:r>
              <w:rPr>
                <w:rFonts w:ascii="仿宋_GB2312" w:hAnsi="仿宋_GB2312" w:cs="仿宋_GB2312" w:hint="eastAsia"/>
                <w:sz w:val="24"/>
                <w:lang w:bidi="ar"/>
              </w:rPr>
              <w:t>环江毛南族自治县畜牧站</w:t>
            </w:r>
            <w:bookmarkEnd w:id="3"/>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谭宋帅</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兽医师/站长</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rsidP="00877A2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环江毛南族自治县畜牧站</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rsidP="00877A2B">
            <w:pPr>
              <w:ind w:firstLineChars="0" w:firstLine="0"/>
              <w:rPr>
                <w:rFonts w:ascii="仿宋_GB2312" w:hAnsi="仿宋_GB2312" w:cs="仿宋_GB2312"/>
                <w:sz w:val="24"/>
                <w:lang w:bidi="ar"/>
              </w:rPr>
            </w:pPr>
            <w:r>
              <w:rPr>
                <w:rFonts w:ascii="仿宋_GB2312" w:hAnsi="仿宋_GB2312" w:cs="仿宋_GB2312" w:hint="eastAsia"/>
                <w:sz w:val="24"/>
                <w:lang w:bidi="ar"/>
              </w:rPr>
              <w:t>参与标准编制工作，组织人员进行标准发布后的宣贯培训。</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黎贞霞</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三级主任科员</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环江毛南族自治县农业农村局</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参与标准文本及编制说明编写，质量控制。</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陆进电</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兽医师</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环江毛南族自治县动物疫病预防控制中心</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韦必群</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高级畜牧师</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环江毛南族自治县畜牧站</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hint="eastAsia"/>
                <w:color w:val="000000"/>
                <w:sz w:val="24"/>
              </w:rPr>
              <w:lastRenderedPageBreak/>
              <w:t>韦晟纯</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hint="eastAsia"/>
                <w:color w:val="000000"/>
                <w:sz w:val="24"/>
              </w:rPr>
              <w:t>工程师</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环江毛南族自治县市场监督管理局</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欧鹏</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副局长</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环江毛南族自治县市场监督管理局</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参与标准文本及编制说明的编写；组织开展标准征求意见会</w:t>
            </w:r>
          </w:p>
        </w:tc>
      </w:tr>
      <w:tr w:rsidR="008F0BDB">
        <w:trPr>
          <w:cantSplit/>
          <w:trHeight w:val="732"/>
        </w:trPr>
        <w:tc>
          <w:tcPr>
            <w:tcW w:w="806" w:type="pct"/>
            <w:tcBorders>
              <w:top w:val="single" w:sz="4" w:space="0" w:color="auto"/>
              <w:left w:val="single" w:sz="4" w:space="0" w:color="auto"/>
              <w:bottom w:val="single" w:sz="4" w:space="0" w:color="auto"/>
              <w:right w:val="single" w:sz="4" w:space="0" w:color="008000"/>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卢立正</w:t>
            </w:r>
          </w:p>
        </w:tc>
        <w:tc>
          <w:tcPr>
            <w:tcW w:w="749"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股长</w:t>
            </w:r>
          </w:p>
        </w:tc>
        <w:tc>
          <w:tcPr>
            <w:tcW w:w="1233" w:type="pct"/>
            <w:tcBorders>
              <w:top w:val="single" w:sz="2" w:space="0" w:color="000000"/>
              <w:left w:val="single" w:sz="4" w:space="0" w:color="auto"/>
              <w:bottom w:val="single" w:sz="4" w:space="0" w:color="auto"/>
              <w:right w:val="single" w:sz="4" w:space="0" w:color="auto"/>
            </w:tcBorders>
            <w:vAlign w:val="center"/>
          </w:tcPr>
          <w:p w:rsidR="008F0BDB" w:rsidRDefault="008F0BDB">
            <w:pPr>
              <w:ind w:firstLineChars="0" w:firstLine="0"/>
              <w:jc w:val="center"/>
              <w:rPr>
                <w:rFonts w:ascii="仿宋_GB2312" w:hAnsi="仿宋_GB2312" w:cs="仿宋_GB2312"/>
                <w:sz w:val="24"/>
                <w:lang w:bidi="ar"/>
              </w:rPr>
            </w:pPr>
            <w:r>
              <w:rPr>
                <w:rFonts w:ascii="仿宋_GB2312" w:hAnsi="仿宋_GB2312" w:cs="仿宋_GB2312" w:hint="eastAsia"/>
                <w:sz w:val="24"/>
                <w:lang w:bidi="ar"/>
              </w:rPr>
              <w:t>环江毛南族自治县市场监督管理局</w:t>
            </w:r>
          </w:p>
        </w:tc>
        <w:tc>
          <w:tcPr>
            <w:tcW w:w="2212" w:type="pct"/>
            <w:tcBorders>
              <w:top w:val="single" w:sz="4" w:space="0" w:color="auto"/>
              <w:left w:val="single" w:sz="4" w:space="0" w:color="auto"/>
              <w:bottom w:val="single" w:sz="4" w:space="0" w:color="auto"/>
              <w:right w:val="single" w:sz="4" w:space="0" w:color="auto"/>
            </w:tcBorders>
            <w:vAlign w:val="center"/>
          </w:tcPr>
          <w:p w:rsidR="008F0BDB" w:rsidRDefault="008F0BDB">
            <w:pPr>
              <w:ind w:firstLineChars="0" w:firstLine="0"/>
              <w:rPr>
                <w:rFonts w:ascii="仿宋_GB2312" w:hAnsi="仿宋_GB2312" w:cs="仿宋_GB2312"/>
                <w:sz w:val="24"/>
                <w:lang w:bidi="ar"/>
              </w:rPr>
            </w:pPr>
            <w:r>
              <w:rPr>
                <w:rFonts w:ascii="仿宋_GB2312" w:hAnsi="仿宋_GB2312" w:cs="仿宋_GB2312" w:hint="eastAsia"/>
                <w:sz w:val="24"/>
                <w:lang w:bidi="ar"/>
              </w:rPr>
              <w:t>对标准实施情况进行总结分析，不断对地方标准提出修正意见。</w:t>
            </w:r>
          </w:p>
        </w:tc>
      </w:tr>
    </w:tbl>
    <w:p w:rsidR="002920CA" w:rsidRDefault="00DF169E">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2920CA" w:rsidRDefault="00DF169E">
      <w:pPr>
        <w:autoSpaceDE w:val="0"/>
        <w:autoSpaceDN w:val="0"/>
        <w:adjustRightInd w:val="0"/>
        <w:spacing w:line="560" w:lineRule="exact"/>
        <w:ind w:firstLine="640"/>
        <w:rPr>
          <w:rFonts w:ascii="仿宋_GB2312" w:hAnsi="宋体"/>
          <w:szCs w:val="28"/>
        </w:rPr>
      </w:pPr>
      <w:r>
        <w:rPr>
          <w:rFonts w:ascii="仿宋_GB2312" w:hAnsi="宋体" w:hint="eastAsia"/>
          <w:szCs w:val="28"/>
        </w:rPr>
        <w:t>环江菜牛，产于广西河池市环江毛南族自治县内国家级喀斯特地貌原始森林自然保护区，该牛一生以传统的栏圈养为主，</w:t>
      </w:r>
      <w:proofErr w:type="gramStart"/>
      <w:r>
        <w:rPr>
          <w:rFonts w:ascii="仿宋_GB2312" w:hAnsi="宋体" w:hint="eastAsia"/>
          <w:szCs w:val="28"/>
        </w:rPr>
        <w:t>不</w:t>
      </w:r>
      <w:proofErr w:type="gramEnd"/>
      <w:r>
        <w:rPr>
          <w:rFonts w:ascii="仿宋_GB2312" w:hAnsi="宋体" w:hint="eastAsia"/>
          <w:szCs w:val="28"/>
        </w:rPr>
        <w:t>劳役，专门采食野生</w:t>
      </w:r>
      <w:proofErr w:type="gramStart"/>
      <w:r>
        <w:rPr>
          <w:rFonts w:ascii="仿宋_GB2312" w:hAnsi="宋体" w:hint="eastAsia"/>
          <w:szCs w:val="28"/>
        </w:rPr>
        <w:t>莎</w:t>
      </w:r>
      <w:proofErr w:type="gramEnd"/>
      <w:r>
        <w:rPr>
          <w:rFonts w:ascii="仿宋_GB2312" w:hAnsi="宋体" w:hint="eastAsia"/>
          <w:szCs w:val="28"/>
        </w:rPr>
        <w:t>树叶和青麻叶等野生保健植物，独特的地理环境和绝无仅有的水土特性，令</w:t>
      </w:r>
      <w:proofErr w:type="gramStart"/>
      <w:r>
        <w:rPr>
          <w:rFonts w:ascii="仿宋_GB2312" w:hAnsi="宋体" w:hint="eastAsia"/>
          <w:szCs w:val="28"/>
        </w:rPr>
        <w:t>环江香牛膘肥</w:t>
      </w:r>
      <w:proofErr w:type="gramEnd"/>
      <w:r>
        <w:rPr>
          <w:rFonts w:ascii="仿宋_GB2312" w:hAnsi="宋体" w:hint="eastAsia"/>
          <w:szCs w:val="28"/>
        </w:rPr>
        <w:t>体壮，肉质独特，呈粉红色，肥瘦相间，层次分明，鲜嫩纹细，有“三隔肉相间”之称。据《环江县志》记载，“环江香牛”的饲养已有500多年的历史，是环江“五香”特色农产品之一。自2005年以来，“环江香牛”分别获得国家地理标志证明商标认证、河池市首届生态绿色名特优农产品奖，环江毛南族自治县更是获得“中国菜牛之乡”称号。多年来，环江坚持发展</w:t>
      </w:r>
      <w:proofErr w:type="gramStart"/>
      <w:r>
        <w:rPr>
          <w:rFonts w:ascii="仿宋_GB2312" w:hAnsi="宋体" w:hint="eastAsia"/>
          <w:szCs w:val="28"/>
        </w:rPr>
        <w:t>壮大香牛产业</w:t>
      </w:r>
      <w:proofErr w:type="gramEnd"/>
      <w:r>
        <w:rPr>
          <w:rFonts w:ascii="仿宋_GB2312" w:hAnsi="宋体" w:hint="eastAsia"/>
          <w:szCs w:val="28"/>
        </w:rPr>
        <w:t>，重点从品种改良、规模养殖、扩大销售、精深加工等</w:t>
      </w:r>
      <w:proofErr w:type="gramStart"/>
      <w:r>
        <w:rPr>
          <w:rFonts w:ascii="仿宋_GB2312" w:hAnsi="宋体" w:hint="eastAsia"/>
          <w:szCs w:val="28"/>
        </w:rPr>
        <w:t>方面深抓做实</w:t>
      </w:r>
      <w:proofErr w:type="gramEnd"/>
      <w:r>
        <w:rPr>
          <w:rFonts w:ascii="仿宋_GB2312" w:hAnsi="宋体" w:hint="eastAsia"/>
          <w:szCs w:val="28"/>
        </w:rPr>
        <w:t>，不断优化肉牛产业结构，有力保障肉牛全产业</w:t>
      </w:r>
      <w:proofErr w:type="gramStart"/>
      <w:r>
        <w:rPr>
          <w:rFonts w:ascii="仿宋_GB2312" w:hAnsi="宋体" w:hint="eastAsia"/>
          <w:szCs w:val="28"/>
        </w:rPr>
        <w:t>链持续</w:t>
      </w:r>
      <w:proofErr w:type="gramEnd"/>
      <w:r>
        <w:rPr>
          <w:rFonts w:ascii="仿宋_GB2312" w:hAnsi="宋体" w:hint="eastAsia"/>
          <w:szCs w:val="28"/>
        </w:rPr>
        <w:t>发展壮大。</w:t>
      </w:r>
    </w:p>
    <w:p w:rsidR="002920CA" w:rsidRDefault="00DF169E">
      <w:pPr>
        <w:autoSpaceDE w:val="0"/>
        <w:autoSpaceDN w:val="0"/>
        <w:adjustRightInd w:val="0"/>
        <w:spacing w:line="560" w:lineRule="exact"/>
        <w:ind w:firstLine="640"/>
        <w:rPr>
          <w:rFonts w:ascii="仿宋_GB2312" w:hAnsi="宋体"/>
          <w:szCs w:val="28"/>
        </w:rPr>
      </w:pPr>
      <w:r>
        <w:rPr>
          <w:rFonts w:ascii="仿宋_GB2312" w:hAnsi="宋体" w:hint="eastAsia"/>
          <w:szCs w:val="28"/>
        </w:rPr>
        <w:t>据了解，环江菜牛主要分布在环江县下南乡下塘、才门、玉环、景阳、希远一带。环江县属滇桂黔石漠化片区，曾是广西深度贫困县，后来当地民众在裸露的基岩上种植牧草养牛，走上致富路，2008年，环江县获“中国菜牛之乡”称号。环江县以“种草养牛”为畜牧业发展亮点，于2018年引进1家龙头企业，建成1个500头以上种牛繁育场，打造以下南乡、川山镇为中心的种草养牛示范乡镇，推行“公司+基地+合作社+农户”模式，大力推</w:t>
      </w:r>
      <w:r>
        <w:rPr>
          <w:rFonts w:ascii="仿宋_GB2312" w:hAnsi="宋体" w:hint="eastAsia"/>
          <w:szCs w:val="28"/>
        </w:rPr>
        <w:lastRenderedPageBreak/>
        <w:t>广“微生物+”等科学养殖技术，辐射带动18个种草养牛示范村。近年来，在当地政府指导下，当地养殖户开始种植经科研人员改良后的牧草，菜牛养殖产业已成为环江县主导产业之一。目前，该县推广种植优质牧草1.26万亩，可配套养牛1.94万头，畜产品加工企业2家。全村已有400多户村民加入种草养牛队伍，每年销售菜牛2000多头。近年来，环江县13个乡镇（街道）大力发展菜牛养殖，2024年，该县菜牛存栏23800多头，菜牛出栏21200多头。</w:t>
      </w:r>
    </w:p>
    <w:p w:rsidR="002920CA" w:rsidRDefault="00DF169E">
      <w:pPr>
        <w:autoSpaceDE w:val="0"/>
        <w:autoSpaceDN w:val="0"/>
        <w:adjustRightInd w:val="0"/>
        <w:spacing w:line="560" w:lineRule="exact"/>
        <w:ind w:firstLine="640"/>
        <w:rPr>
          <w:rFonts w:ascii="仿宋_GB2312" w:hAnsi="宋体"/>
          <w:szCs w:val="28"/>
        </w:rPr>
      </w:pPr>
      <w:r>
        <w:rPr>
          <w:rFonts w:ascii="仿宋_GB2312" w:hAnsi="宋体" w:hint="eastAsia"/>
          <w:szCs w:val="28"/>
        </w:rPr>
        <w:t>环江菜牛以黄牛的犊牛育肥为主。育肥方法采用传统的舍养方法，不放牧、</w:t>
      </w:r>
      <w:proofErr w:type="gramStart"/>
      <w:r>
        <w:rPr>
          <w:rFonts w:ascii="仿宋_GB2312" w:hAnsi="宋体" w:hint="eastAsia"/>
          <w:szCs w:val="28"/>
        </w:rPr>
        <w:t>不</w:t>
      </w:r>
      <w:proofErr w:type="gramEnd"/>
      <w:r>
        <w:rPr>
          <w:rFonts w:ascii="仿宋_GB2312" w:hAnsi="宋体" w:hint="eastAsia"/>
          <w:szCs w:val="28"/>
        </w:rPr>
        <w:t>劳役、单栏圈养，以各种青草、野生</w:t>
      </w:r>
      <w:proofErr w:type="gramStart"/>
      <w:r>
        <w:rPr>
          <w:rFonts w:ascii="仿宋_GB2312" w:hAnsi="宋体" w:hint="eastAsia"/>
          <w:szCs w:val="28"/>
        </w:rPr>
        <w:t>莎</w:t>
      </w:r>
      <w:proofErr w:type="gramEnd"/>
      <w:r>
        <w:rPr>
          <w:rFonts w:ascii="仿宋_GB2312" w:hAnsi="宋体" w:hint="eastAsia"/>
          <w:szCs w:val="28"/>
        </w:rPr>
        <w:t>树叶、青麻叶及红薯藤、</w:t>
      </w:r>
      <w:proofErr w:type="gramStart"/>
      <w:r>
        <w:rPr>
          <w:rFonts w:ascii="仿宋_GB2312" w:hAnsi="宋体" w:hint="eastAsia"/>
          <w:szCs w:val="28"/>
        </w:rPr>
        <w:t>玉米杆</w:t>
      </w:r>
      <w:proofErr w:type="gramEnd"/>
      <w:r>
        <w:rPr>
          <w:rFonts w:ascii="仿宋_GB2312" w:hAnsi="宋体" w:hint="eastAsia"/>
          <w:szCs w:val="28"/>
        </w:rPr>
        <w:t>、玉米芯、黄豆壳等配以精饲料玉米、小米、黄豆等饲育。</w:t>
      </w:r>
      <w:proofErr w:type="gramStart"/>
      <w:r>
        <w:rPr>
          <w:rFonts w:ascii="仿宋_GB2312" w:hAnsi="宋体" w:hint="eastAsia"/>
          <w:szCs w:val="28"/>
        </w:rPr>
        <w:t>环江香牛是</w:t>
      </w:r>
      <w:proofErr w:type="gramEnd"/>
      <w:r>
        <w:rPr>
          <w:rFonts w:ascii="仿宋_GB2312" w:hAnsi="宋体" w:hint="eastAsia"/>
          <w:szCs w:val="28"/>
        </w:rPr>
        <w:t>环江县三宝（香猪、香牛、香鸭）之一。2008年环江被授予“中国菜牛之乡”的称号。2010年，环江菜牛获得原国家工商总局地理标志证明商标认证。但随着市场竞争的加剧，产业发展遭遇瓶颈。一方面，由于缺乏统一的团体标准，环江菜牛在养殖、育肥、屠宰加工及产品质量等方面存在参差不齐的现象。不同养殖户的养殖方式差异大，导致菜牛品质不稳定，影响了环江菜牛在市场上的整体声誉和竞争力。另一方面，没有标准规范，产业上下游难以形成有效的协同发展机制，不利于产业链的延伸与拓展。</w:t>
      </w:r>
    </w:p>
    <w:p w:rsidR="002920CA" w:rsidRDefault="00DF169E">
      <w:pPr>
        <w:autoSpaceDE w:val="0"/>
        <w:autoSpaceDN w:val="0"/>
        <w:adjustRightInd w:val="0"/>
        <w:spacing w:line="560" w:lineRule="exact"/>
        <w:ind w:firstLine="640"/>
        <w:rPr>
          <w:rFonts w:ascii="仿宋_GB2312" w:hAnsi="宋体"/>
          <w:szCs w:val="28"/>
        </w:rPr>
      </w:pPr>
      <w:r>
        <w:rPr>
          <w:rFonts w:ascii="仿宋_GB2312" w:hAnsi="宋体" w:hint="eastAsia"/>
          <w:szCs w:val="28"/>
        </w:rPr>
        <w:t>通过制定团体标准《地理标志证明商标 环江菜牛》，统一规范地理标志证明商标 环江菜牛的产地范围、质量指标、检测方法等，对提高产品质量，增强产业竞争力，推动环江菜牛产业向规模化、产业化、品牌化方向发展具有重要意义。</w:t>
      </w:r>
    </w:p>
    <w:p w:rsidR="002920CA" w:rsidRDefault="00DF16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2920CA" w:rsidRDefault="00DF169E">
      <w:pPr>
        <w:spacing w:line="560" w:lineRule="exact"/>
        <w:ind w:firstLine="643"/>
        <w:rPr>
          <w:rFonts w:ascii="楷体" w:eastAsia="楷体" w:hAnsi="楷体"/>
          <w:szCs w:val="28"/>
        </w:rPr>
      </w:pPr>
      <w:r>
        <w:rPr>
          <w:rFonts w:ascii="楷体" w:eastAsia="楷体" w:hAnsi="楷体" w:cs="仿宋_GB2312" w:hint="eastAsia"/>
          <w:b/>
          <w:szCs w:val="28"/>
        </w:rPr>
        <w:lastRenderedPageBreak/>
        <w:t>（一）成立标准编制工作组</w:t>
      </w:r>
    </w:p>
    <w:p w:rsidR="002920CA" w:rsidRDefault="00DF169E">
      <w:pPr>
        <w:ind w:firstLine="640"/>
        <w:rPr>
          <w:rFonts w:ascii="仿宋_GB2312" w:hAnsi="宋体"/>
          <w:szCs w:val="28"/>
        </w:rPr>
      </w:pPr>
      <w:r>
        <w:rPr>
          <w:rFonts w:ascii="仿宋_GB2312" w:hAnsi="宋体" w:hint="eastAsia"/>
          <w:szCs w:val="28"/>
        </w:rPr>
        <w:t>团体标准《地理标志证明商标  环江菜牛》项目任务下达后，环江毛南族自治县县市场监督管理局成立了标准编制工作组，起草单位制定了起草编写方案与进度安排，明确任务职责，确定工作技术路线，开展标准研制工作。具体标准编制工作由环江毛南族自治县县市场监督管理局、环江毛南族自治县农业农村局、环江毛南族自治县畜牧站等单位负责人组成的标准编制工作组完成。</w:t>
      </w:r>
    </w:p>
    <w:p w:rsidR="002920CA" w:rsidRDefault="00DF169E">
      <w:pPr>
        <w:ind w:firstLine="640"/>
        <w:rPr>
          <w:rFonts w:ascii="仿宋_GB2312" w:hAnsi="宋体"/>
          <w:szCs w:val="28"/>
        </w:rPr>
      </w:pPr>
      <w:r>
        <w:rPr>
          <w:rFonts w:ascii="仿宋_GB2312" w:hAnsi="宋体" w:hint="eastAsia"/>
          <w:szCs w:val="28"/>
        </w:rPr>
        <w:t>编制工作组下设三个组，分别是资料收集组、草案编写组、标准实施组。</w:t>
      </w:r>
    </w:p>
    <w:p w:rsidR="002920CA" w:rsidRDefault="00DF169E">
      <w:pPr>
        <w:ind w:firstLine="640"/>
        <w:rPr>
          <w:rFonts w:ascii="仿宋_GB2312" w:hAnsi="宋体"/>
          <w:szCs w:val="28"/>
        </w:rPr>
      </w:pPr>
      <w:r>
        <w:rPr>
          <w:rFonts w:ascii="仿宋_GB2312" w:hAnsi="宋体" w:hint="eastAsia"/>
          <w:szCs w:val="28"/>
        </w:rPr>
        <w:t>资料收集组负责国内外有关地理标志证明商标  环江菜牛的文献资料的查询、收集和整理工作，查阅前人对地理标志证明商标  环江菜牛的研究情况。</w:t>
      </w:r>
    </w:p>
    <w:p w:rsidR="002920CA" w:rsidRDefault="00DF169E">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2920CA" w:rsidRDefault="00DF169E">
      <w:pPr>
        <w:ind w:firstLine="640"/>
        <w:rPr>
          <w:rFonts w:ascii="仿宋_GB2312" w:hAnsi="宋体"/>
          <w:szCs w:val="28"/>
        </w:rPr>
      </w:pPr>
      <w:r>
        <w:rPr>
          <w:rFonts w:ascii="仿宋_GB2312" w:hAnsi="宋体" w:hint="eastAsia"/>
          <w:szCs w:val="28"/>
        </w:rPr>
        <w:t>标准</w:t>
      </w:r>
      <w:proofErr w:type="gramStart"/>
      <w:r>
        <w:rPr>
          <w:rFonts w:ascii="仿宋_GB2312" w:hAnsi="宋体" w:hint="eastAsia"/>
          <w:szCs w:val="28"/>
        </w:rPr>
        <w:t>实施组</w:t>
      </w:r>
      <w:proofErr w:type="gramEnd"/>
      <w:r>
        <w:rPr>
          <w:rFonts w:ascii="仿宋_GB2312" w:hAnsi="宋体" w:hint="eastAsia"/>
          <w:szCs w:val="28"/>
        </w:rPr>
        <w:t>负责团体标准《地理标志证明商标  环江菜牛》发布后，组织相关单位开展标准宣</w:t>
      </w:r>
      <w:proofErr w:type="gramStart"/>
      <w:r>
        <w:rPr>
          <w:rFonts w:ascii="仿宋_GB2312" w:hAnsi="宋体" w:hint="eastAsia"/>
          <w:szCs w:val="28"/>
        </w:rPr>
        <w:t>贯培训</w:t>
      </w:r>
      <w:proofErr w:type="gramEnd"/>
      <w:r>
        <w:rPr>
          <w:rFonts w:ascii="仿宋_GB2312" w:hAnsi="宋体" w:hint="eastAsia"/>
          <w:szCs w:val="28"/>
        </w:rPr>
        <w:t>会，对标准进行详细解读，</w:t>
      </w:r>
      <w:proofErr w:type="gramStart"/>
      <w:r>
        <w:rPr>
          <w:rFonts w:ascii="仿宋_GB2312" w:hAnsi="宋体" w:hint="eastAsia"/>
          <w:szCs w:val="28"/>
        </w:rPr>
        <w:t>让相关</w:t>
      </w:r>
      <w:proofErr w:type="gramEnd"/>
      <w:r>
        <w:rPr>
          <w:rFonts w:ascii="仿宋_GB2312" w:hAnsi="宋体" w:hint="eastAsia"/>
          <w:szCs w:val="28"/>
        </w:rPr>
        <w:t>人员了解标准，并根据标准对地理标志证明商标  环江菜牛进行规范化操作，并对标准实施情况进行总结分析，不断对团体标准提出修正意见。</w:t>
      </w:r>
    </w:p>
    <w:p w:rsidR="002920CA" w:rsidRDefault="00DF169E">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2920CA" w:rsidRDefault="00DF169E">
      <w:pPr>
        <w:ind w:firstLine="640"/>
        <w:rPr>
          <w:rFonts w:ascii="仿宋_GB2312" w:hAnsi="宋体"/>
          <w:szCs w:val="28"/>
          <w:lang w:val="fr-FR"/>
        </w:rPr>
      </w:pPr>
      <w:r>
        <w:rPr>
          <w:rFonts w:ascii="仿宋_GB2312" w:hAnsi="宋体" w:hint="eastAsia"/>
          <w:szCs w:val="28"/>
        </w:rPr>
        <w:lastRenderedPageBreak/>
        <w:t>标准编制工作组收集了国内有关</w:t>
      </w:r>
      <w:r>
        <w:rPr>
          <w:rFonts w:hAnsi="宋体" w:hint="eastAsia"/>
          <w:color w:val="000000" w:themeColor="text1"/>
        </w:rPr>
        <w:t>“地理标志</w:t>
      </w:r>
      <w:r>
        <w:rPr>
          <w:rFonts w:hAnsi="宋体" w:hint="eastAsia"/>
          <w:color w:val="000000" w:themeColor="text1"/>
        </w:rPr>
        <w:t xml:space="preserve"> </w:t>
      </w:r>
      <w:r>
        <w:rPr>
          <w:rFonts w:hAnsi="宋体" w:hint="eastAsia"/>
          <w:color w:val="000000" w:themeColor="text1"/>
        </w:rPr>
        <w:t>环江”“环江菜牛”</w:t>
      </w:r>
      <w:r>
        <w:rPr>
          <w:rFonts w:ascii="仿宋_GB2312" w:hAnsi="宋体" w:hint="eastAsia"/>
          <w:szCs w:val="28"/>
        </w:rPr>
        <w:t>相关资料。主要有</w:t>
      </w:r>
      <w:r>
        <w:rPr>
          <w:rFonts w:ascii="仿宋_GB2312" w:hAnsi="宋体" w:hint="eastAsia"/>
          <w:szCs w:val="28"/>
          <w:lang w:val="fr-FR"/>
        </w:rPr>
        <w:t>：</w:t>
      </w:r>
    </w:p>
    <w:p w:rsidR="002920CA" w:rsidRDefault="00DF169E">
      <w:pPr>
        <w:spacing w:line="560" w:lineRule="exact"/>
        <w:ind w:firstLine="640"/>
        <w:rPr>
          <w:rFonts w:ascii="仿宋_GB2312" w:hAnsi="宋体"/>
          <w:szCs w:val="28"/>
        </w:rPr>
      </w:pPr>
      <w:r>
        <w:rPr>
          <w:rFonts w:ascii="仿宋_GB2312" w:hAnsi="宋体" w:hint="eastAsia"/>
          <w:szCs w:val="28"/>
        </w:rPr>
        <w:t>[1]  韦必群.环江菜牛产业发展现状优势及对策[J].当代畜牧，2022，(12):</w:t>
      </w:r>
      <w:proofErr w:type="gramStart"/>
      <w:r>
        <w:rPr>
          <w:rFonts w:ascii="仿宋_GB2312" w:hAnsi="宋体" w:hint="eastAsia"/>
          <w:szCs w:val="28"/>
        </w:rPr>
        <w:t>127-131.</w:t>
      </w:r>
      <w:proofErr w:type="gramEnd"/>
    </w:p>
    <w:p w:rsidR="002920CA" w:rsidRDefault="00DF169E">
      <w:pPr>
        <w:spacing w:line="560" w:lineRule="exact"/>
        <w:ind w:firstLine="640"/>
        <w:rPr>
          <w:rFonts w:ascii="仿宋_GB2312" w:hAnsi="宋体"/>
          <w:szCs w:val="28"/>
        </w:rPr>
      </w:pPr>
      <w:r>
        <w:rPr>
          <w:rFonts w:ascii="仿宋_GB2312" w:hAnsi="宋体" w:hint="eastAsia"/>
          <w:szCs w:val="28"/>
        </w:rPr>
        <w:t>[2]  覃江红，韦必群.广西环江菜牛育肥饲养管理与疾病防治措施[J].畜牧兽医科学(电子版)，2022，(18):</w:t>
      </w:r>
      <w:proofErr w:type="gramStart"/>
      <w:r>
        <w:rPr>
          <w:rFonts w:ascii="仿宋_GB2312" w:hAnsi="宋体" w:hint="eastAsia"/>
          <w:szCs w:val="28"/>
        </w:rPr>
        <w:t>30-32.</w:t>
      </w:r>
      <w:proofErr w:type="gramEnd"/>
    </w:p>
    <w:p w:rsidR="002920CA" w:rsidRDefault="00DF169E">
      <w:pPr>
        <w:spacing w:line="560" w:lineRule="exact"/>
        <w:ind w:firstLine="640"/>
        <w:rPr>
          <w:rFonts w:ascii="仿宋_GB2312" w:hAnsi="宋体"/>
          <w:szCs w:val="28"/>
        </w:rPr>
      </w:pPr>
      <w:r>
        <w:rPr>
          <w:rFonts w:ascii="仿宋_GB2312" w:hAnsi="宋体" w:hint="eastAsia"/>
          <w:szCs w:val="28"/>
        </w:rPr>
        <w:t>[3]  韦必群.发展</w:t>
      </w:r>
      <w:proofErr w:type="gramStart"/>
      <w:r>
        <w:rPr>
          <w:rFonts w:ascii="仿宋_GB2312" w:hAnsi="宋体" w:hint="eastAsia"/>
          <w:szCs w:val="28"/>
        </w:rPr>
        <w:t>牛产业</w:t>
      </w:r>
      <w:proofErr w:type="gramEnd"/>
      <w:r>
        <w:rPr>
          <w:rFonts w:ascii="仿宋_GB2312" w:hAnsi="宋体" w:hint="eastAsia"/>
          <w:szCs w:val="28"/>
        </w:rPr>
        <w:t>推动环江菜牛转型升级[J].中国</w:t>
      </w:r>
      <w:proofErr w:type="gramStart"/>
      <w:r>
        <w:rPr>
          <w:rFonts w:ascii="仿宋_GB2312" w:hAnsi="宋体" w:hint="eastAsia"/>
          <w:szCs w:val="28"/>
        </w:rPr>
        <w:t>畜禽种</w:t>
      </w:r>
      <w:proofErr w:type="gramEnd"/>
      <w:r>
        <w:rPr>
          <w:rFonts w:ascii="仿宋_GB2312" w:hAnsi="宋体" w:hint="eastAsia"/>
          <w:szCs w:val="28"/>
        </w:rPr>
        <w:t>业，2019，15(11):</w:t>
      </w:r>
      <w:proofErr w:type="gramStart"/>
      <w:r>
        <w:rPr>
          <w:rFonts w:ascii="仿宋_GB2312" w:hAnsi="宋体" w:hint="eastAsia"/>
          <w:szCs w:val="28"/>
        </w:rPr>
        <w:t>13-14.</w:t>
      </w:r>
      <w:proofErr w:type="gramEnd"/>
    </w:p>
    <w:p w:rsidR="002920CA" w:rsidRDefault="00DF169E">
      <w:pPr>
        <w:spacing w:line="560" w:lineRule="exact"/>
        <w:ind w:firstLine="640"/>
        <w:rPr>
          <w:rFonts w:ascii="仿宋_GB2312" w:hAnsi="宋体"/>
          <w:szCs w:val="28"/>
        </w:rPr>
      </w:pPr>
      <w:r>
        <w:rPr>
          <w:rFonts w:ascii="仿宋_GB2312" w:hAnsi="宋体" w:hint="eastAsia"/>
          <w:szCs w:val="28"/>
        </w:rPr>
        <w:t>[4]  莫殿宝.加快环江菜牛产业发展的路径探索[J].中国</w:t>
      </w:r>
      <w:proofErr w:type="gramStart"/>
      <w:r>
        <w:rPr>
          <w:rFonts w:ascii="仿宋_GB2312" w:hAnsi="宋体" w:hint="eastAsia"/>
          <w:szCs w:val="28"/>
        </w:rPr>
        <w:t>畜禽种</w:t>
      </w:r>
      <w:proofErr w:type="gramEnd"/>
      <w:r>
        <w:rPr>
          <w:rFonts w:ascii="仿宋_GB2312" w:hAnsi="宋体" w:hint="eastAsia"/>
          <w:szCs w:val="28"/>
        </w:rPr>
        <w:t>业，2019，15(09):23.</w:t>
      </w:r>
    </w:p>
    <w:p w:rsidR="002920CA" w:rsidRDefault="00DF169E">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2920CA" w:rsidRDefault="00DF169E">
      <w:pPr>
        <w:spacing w:line="560" w:lineRule="exact"/>
        <w:ind w:firstLine="640"/>
        <w:rPr>
          <w:rFonts w:ascii="楷体" w:eastAsia="楷体" w:hAnsi="楷体" w:cs="仿宋_GB2312"/>
          <w:b/>
          <w:szCs w:val="28"/>
        </w:rPr>
      </w:pPr>
      <w:r>
        <w:rPr>
          <w:rFonts w:ascii="仿宋_GB2312" w:hAnsi="宋体" w:hint="eastAsia"/>
          <w:szCs w:val="28"/>
        </w:rPr>
        <w:t>标准编制工作组在对收集的资料进行整理研究之后，2025年6月，标准编制工作组召开了标准编制会议，对标准的整体框架结构进行了研究，并对标准的关键性内容进行了初步探讨。经过研究，标准的主体内容确定为</w:t>
      </w:r>
      <w:bookmarkStart w:id="4" w:name="OLE_LINK4"/>
      <w:bookmarkStart w:id="5" w:name="OLE_LINK3"/>
      <w:r>
        <w:rPr>
          <w:rFonts w:ascii="仿宋_GB2312" w:hAnsi="宋体" w:hint="eastAsia"/>
          <w:color w:val="000000" w:themeColor="text1"/>
          <w:szCs w:val="28"/>
        </w:rPr>
        <w:t>术语和定义、</w:t>
      </w:r>
      <w:bookmarkEnd w:id="4"/>
      <w:bookmarkEnd w:id="5"/>
      <w:r>
        <w:rPr>
          <w:rFonts w:ascii="仿宋_GB2312" w:hAnsi="宋体" w:hint="eastAsia"/>
          <w:color w:val="000000" w:themeColor="text1"/>
          <w:szCs w:val="28"/>
        </w:rPr>
        <w:t>要求、检验方法、检验规则、标志、包装、运输和贮存。标准的核心技术及创新点在于：</w:t>
      </w:r>
    </w:p>
    <w:p w:rsidR="002920CA" w:rsidRDefault="00DF169E">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（1）环江菜牛2010年已获得地理标志证明商标认证，但目前还未有相关标准，属于标准空白。</w:t>
      </w:r>
    </w:p>
    <w:p w:rsidR="002920CA" w:rsidRDefault="00DF169E">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（2）环江菜牛</w:t>
      </w:r>
      <w:proofErr w:type="gramStart"/>
      <w:r>
        <w:rPr>
          <w:rFonts w:ascii="仿宋_GB2312" w:hAnsi="宋体" w:hint="eastAsia"/>
          <w:szCs w:val="28"/>
        </w:rPr>
        <w:t>牛</w:t>
      </w:r>
      <w:proofErr w:type="gramEnd"/>
      <w:r>
        <w:rPr>
          <w:rFonts w:ascii="仿宋_GB2312" w:hAnsi="宋体" w:hint="eastAsia"/>
          <w:szCs w:val="28"/>
        </w:rPr>
        <w:t>膘肥体壮，肉质独特，呈粉红色，肥瘦相间，层次分明，鲜嫩纹细，有“三隔肉相间”之称。</w:t>
      </w:r>
    </w:p>
    <w:p w:rsidR="002920CA" w:rsidRDefault="00DF169E">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（3）环江香牛头小颈短，胸宽而深，背腰平直，后躯宽面长，全身皮毛细密光亮呈黄色;肌肉</w:t>
      </w:r>
      <w:proofErr w:type="gramStart"/>
      <w:r>
        <w:rPr>
          <w:rFonts w:ascii="仿宋_GB2312" w:hAnsi="宋体" w:hint="eastAsia"/>
          <w:szCs w:val="28"/>
        </w:rPr>
        <w:t>暗红有</w:t>
      </w:r>
      <w:proofErr w:type="gramEnd"/>
      <w:r>
        <w:rPr>
          <w:rFonts w:ascii="仿宋_GB2312" w:hAnsi="宋体" w:hint="eastAsia"/>
          <w:szCs w:val="28"/>
        </w:rPr>
        <w:t>光泽、纹理清晰，脂</w:t>
      </w:r>
      <w:r>
        <w:rPr>
          <w:rFonts w:ascii="仿宋_GB2312" w:hAnsi="宋体" w:hint="eastAsia"/>
          <w:szCs w:val="28"/>
        </w:rPr>
        <w:lastRenderedPageBreak/>
        <w:t>肪乳白，肉质紧密，富有弹性；煮熟后肉质鲜嫩，肉汤鲜香浓。</w:t>
      </w:r>
    </w:p>
    <w:p w:rsidR="002920CA" w:rsidRDefault="00DF169E">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（4）产品独特性营养品质在于：蛋白质含量19.12%，类比参照值15.73%；肌内脂肪3.4g/100g，类比参照值2.3g/100g；胆固醇29.7mg/100g，类比参照值58.0g/100g；谷氨酸+天冬氨酸（鲜味氨基酸）4.94g/100g，类比参照值3.68g/100g。</w:t>
      </w:r>
    </w:p>
    <w:p w:rsidR="002920CA" w:rsidRDefault="00DF169E">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2920CA" w:rsidRDefault="00DF169E">
      <w:pPr>
        <w:ind w:firstLine="640"/>
        <w:rPr>
          <w:rFonts w:ascii="宋体" w:hAnsi="宋体" w:cs="宋体"/>
          <w:bCs/>
          <w:szCs w:val="21"/>
        </w:rPr>
      </w:pPr>
      <w:r>
        <w:rPr>
          <w:rFonts w:ascii="仿宋_GB2312" w:hAnsi="宋体" w:hint="eastAsia"/>
          <w:szCs w:val="28"/>
        </w:rPr>
        <w:t>2025年6月，标准起草工作小组进行了广泛调研工作，查阅了大量的国内外文献资料，对地理标志证明商标  环江菜牛的前人研究成果进行系统总结。形成了标准的基本构架，对主要内容进行了讨论并对项目的工作进行了部署和安排。</w:t>
      </w:r>
    </w:p>
    <w:p w:rsidR="002920CA" w:rsidRDefault="00DF169E">
      <w:pPr>
        <w:ind w:firstLine="640"/>
        <w:rPr>
          <w:rFonts w:ascii="仿宋_GB2312" w:hAnsi="宋体"/>
          <w:szCs w:val="28"/>
        </w:rPr>
      </w:pPr>
      <w:r>
        <w:rPr>
          <w:rFonts w:ascii="仿宋_GB2312" w:hAnsi="宋体" w:hint="eastAsia"/>
          <w:szCs w:val="28"/>
        </w:rPr>
        <w:t>2025年7月，在前期工作的基础之上，通过理清逻辑脉络，整合已有的参考资料中有关地理标志证明商标  环江菜牛要求，并结合地理标志证明商标  环江菜牛实际要求的基础上，按照简化、统一等原则编制完成团体标准《地理标志证明商标  环江菜牛》（草案）。</w:t>
      </w:r>
    </w:p>
    <w:p w:rsidR="002920CA" w:rsidRDefault="00DF169E">
      <w:pPr>
        <w:autoSpaceDE w:val="0"/>
        <w:autoSpaceDN w:val="0"/>
        <w:adjustRightInd w:val="0"/>
        <w:spacing w:line="600" w:lineRule="exact"/>
        <w:ind w:firstLine="640"/>
        <w:rPr>
          <w:rFonts w:ascii="仿宋_GB2312" w:hAnsi="宋体"/>
          <w:szCs w:val="28"/>
        </w:rPr>
      </w:pPr>
      <w:r>
        <w:rPr>
          <w:rFonts w:ascii="仿宋_GB2312" w:hAnsi="宋体" w:hint="eastAsia"/>
          <w:szCs w:val="28"/>
        </w:rPr>
        <w:t>2025年8月～2026年2月，标准起草工作组到</w:t>
      </w:r>
      <w:r>
        <w:rPr>
          <w:rFonts w:ascii="宋体" w:hAnsi="宋体" w:cs="宋体" w:hint="eastAsia"/>
          <w:bCs/>
          <w:szCs w:val="21"/>
        </w:rPr>
        <w:t>环江丰益生态种养有限公司、</w:t>
      </w:r>
      <w:proofErr w:type="gramStart"/>
      <w:r>
        <w:rPr>
          <w:rFonts w:ascii="宋体" w:hAnsi="宋体" w:cs="宋体" w:hint="eastAsia"/>
          <w:bCs/>
          <w:szCs w:val="21"/>
        </w:rPr>
        <w:t>环江佳合养殖</w:t>
      </w:r>
      <w:proofErr w:type="gramEnd"/>
      <w:r>
        <w:rPr>
          <w:rFonts w:ascii="宋体" w:hAnsi="宋体" w:cs="宋体" w:hint="eastAsia"/>
          <w:bCs/>
          <w:szCs w:val="21"/>
        </w:rPr>
        <w:t>家庭农场、环江毛南绿</w:t>
      </w:r>
      <w:r>
        <w:rPr>
          <w:rFonts w:ascii="宋体" w:eastAsia="宋体" w:hAnsi="宋体" w:cs="宋体" w:hint="eastAsia"/>
          <w:bCs/>
          <w:szCs w:val="21"/>
        </w:rPr>
        <w:t>峯</w:t>
      </w:r>
      <w:r>
        <w:rPr>
          <w:rFonts w:ascii="宋体" w:hAnsi="宋体" w:cs="宋体" w:hint="eastAsia"/>
          <w:bCs/>
          <w:szCs w:val="21"/>
        </w:rPr>
        <w:t>种养基地、向未来牧业养殖场、环江</w:t>
      </w:r>
      <w:proofErr w:type="gramStart"/>
      <w:r>
        <w:rPr>
          <w:rFonts w:ascii="宋体" w:hAnsi="宋体" w:cs="宋体" w:hint="eastAsia"/>
          <w:bCs/>
          <w:szCs w:val="21"/>
        </w:rPr>
        <w:t>木论东风林</w:t>
      </w:r>
      <w:proofErr w:type="gramEnd"/>
      <w:r>
        <w:rPr>
          <w:rFonts w:ascii="宋体" w:hAnsi="宋体" w:cs="宋体" w:hint="eastAsia"/>
          <w:bCs/>
          <w:szCs w:val="21"/>
        </w:rPr>
        <w:t>下养牛场、</w:t>
      </w:r>
      <w:proofErr w:type="gramStart"/>
      <w:r>
        <w:rPr>
          <w:rFonts w:ascii="宋体" w:hAnsi="宋体" w:cs="宋体" w:hint="eastAsia"/>
          <w:bCs/>
          <w:szCs w:val="21"/>
        </w:rPr>
        <w:t>五圩生态</w:t>
      </w:r>
      <w:proofErr w:type="gramEnd"/>
      <w:r>
        <w:rPr>
          <w:rFonts w:ascii="宋体" w:hAnsi="宋体" w:cs="宋体" w:hint="eastAsia"/>
          <w:bCs/>
          <w:szCs w:val="21"/>
        </w:rPr>
        <w:t>养殖农民专业合作社、环江玉能生态养殖场、谭俊品养殖场等</w:t>
      </w:r>
      <w:r>
        <w:rPr>
          <w:rFonts w:ascii="仿宋_GB2312" w:hAnsi="宋体"/>
          <w:szCs w:val="28"/>
        </w:rPr>
        <w:t>相关单位进行调研，开展</w:t>
      </w:r>
      <w:r>
        <w:rPr>
          <w:rFonts w:ascii="仿宋_GB2312" w:hAnsi="宋体" w:hint="eastAsia"/>
          <w:szCs w:val="28"/>
        </w:rPr>
        <w:t>产品抽样检测，并实际征求意见，通过收集反馈了大量意见，标准编制工作组多次召开会议，对标准草案进行了反复修改和研究讨论。进一步讨论完善标准草案，形成团体标准</w:t>
      </w:r>
      <w:r>
        <w:rPr>
          <w:rFonts w:ascii="仿宋_GB2312" w:hAnsi="宋体" w:hint="eastAsia"/>
          <w:szCs w:val="28"/>
        </w:rPr>
        <w:lastRenderedPageBreak/>
        <w:t>《地理标志证明商标  环江菜牛》（征求意见稿）和（征求意见稿）编制说明。</w:t>
      </w:r>
    </w:p>
    <w:p w:rsidR="002920CA" w:rsidRDefault="00DF169E">
      <w:pPr>
        <w:autoSpaceDE w:val="0"/>
        <w:autoSpaceDN w:val="0"/>
        <w:adjustRightInd w:val="0"/>
        <w:ind w:firstLine="640"/>
        <w:jc w:val="left"/>
        <w:rPr>
          <w:rFonts w:eastAsia="黑体"/>
          <w:bCs/>
          <w:szCs w:val="32"/>
        </w:rPr>
      </w:pPr>
      <w:bookmarkStart w:id="6" w:name="_Toc526940083"/>
      <w:r>
        <w:rPr>
          <w:rFonts w:eastAsia="黑体"/>
          <w:bCs/>
          <w:szCs w:val="32"/>
        </w:rPr>
        <w:t>四、</w:t>
      </w:r>
      <w:bookmarkEnd w:id="6"/>
      <w:r>
        <w:rPr>
          <w:rFonts w:eastAsia="黑体"/>
          <w:bCs/>
          <w:szCs w:val="32"/>
        </w:rPr>
        <w:t>制定标准的原则和依据，与现行法律、法规的关系，与有关国家标准、行业标准的协调情况</w:t>
      </w:r>
    </w:p>
    <w:p w:rsidR="002920CA" w:rsidRDefault="00DF169E">
      <w:pPr>
        <w:pStyle w:val="afd"/>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2920CA" w:rsidRDefault="00DF169E">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rsidR="002920CA" w:rsidRDefault="00DF169E">
      <w:pPr>
        <w:ind w:firstLine="640"/>
        <w:rPr>
          <w:rFonts w:ascii="仿宋_GB2312" w:hAnsi="宋体"/>
          <w:szCs w:val="28"/>
        </w:rPr>
      </w:pPr>
      <w:r>
        <w:rPr>
          <w:rFonts w:ascii="仿宋_GB2312" w:hAnsi="宋体" w:hint="eastAsia"/>
          <w:szCs w:val="28"/>
        </w:rPr>
        <w:t>本文件是在充分收集相关资料和文献，分析地理标志证明商标  环江菜牛当前现状，在现有相关地理标志证明商标  环江菜牛要求的基础上，结合编制单位</w:t>
      </w:r>
      <w:r>
        <w:rPr>
          <w:rFonts w:ascii="仿宋_GB2312" w:hAnsi="宋体"/>
          <w:szCs w:val="28"/>
        </w:rPr>
        <w:t>多年</w:t>
      </w:r>
      <w:r>
        <w:rPr>
          <w:rFonts w:ascii="仿宋_GB2312" w:hAnsi="宋体" w:hint="eastAsia"/>
          <w:szCs w:val="28"/>
        </w:rPr>
        <w:t>相关经验而总结起草的，符合当前地理标志证明商标  环江菜牛发展的方向，具有较强的实用性和可操作性。</w:t>
      </w:r>
    </w:p>
    <w:p w:rsidR="002920CA" w:rsidRDefault="00DF16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2920CA" w:rsidRDefault="00DF169E">
      <w:pPr>
        <w:ind w:firstLine="640"/>
        <w:rPr>
          <w:rFonts w:ascii="仿宋_GB2312" w:hAnsi="宋体"/>
          <w:szCs w:val="28"/>
        </w:rPr>
      </w:pPr>
      <w:r>
        <w:rPr>
          <w:rFonts w:ascii="仿宋_GB2312" w:hAnsi="宋体" w:hint="eastAsia"/>
          <w:szCs w:val="28"/>
        </w:rPr>
        <w:t>本文件编写过程中注意了与地理标志证明商标  环江菜牛相关法律法规的协调问题，在内容上与现行法律法规、标准协调一致。</w:t>
      </w:r>
    </w:p>
    <w:p w:rsidR="002920CA" w:rsidRDefault="00DF16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2920CA" w:rsidRDefault="00DF169E">
      <w:pPr>
        <w:ind w:firstLine="640"/>
        <w:rPr>
          <w:rFonts w:ascii="仿宋_GB2312" w:hAnsi="宋体"/>
          <w:szCs w:val="28"/>
        </w:rPr>
      </w:pPr>
      <w:r>
        <w:rPr>
          <w:rFonts w:ascii="仿宋_GB2312" w:hAnsi="宋体" w:hint="eastAsia"/>
          <w:szCs w:val="28"/>
        </w:rPr>
        <w:t>本文件严格参照GB/T 1.1—2020《标准化工作导则  第1部分：标准化文件的结构和起草规则》编写本标准的内容，保证标准的编写质量。</w:t>
      </w:r>
    </w:p>
    <w:p w:rsidR="002920CA" w:rsidRDefault="00DF16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2920CA" w:rsidRDefault="00DF169E">
      <w:pPr>
        <w:ind w:firstLine="640"/>
        <w:rPr>
          <w:rFonts w:ascii="仿宋_GB2312" w:hAnsi="宋体"/>
          <w:szCs w:val="28"/>
        </w:rPr>
      </w:pPr>
      <w:r>
        <w:rPr>
          <w:rFonts w:ascii="仿宋_GB2312" w:hAnsi="宋体" w:hint="eastAsia"/>
          <w:szCs w:val="28"/>
        </w:rPr>
        <w:t>本文件在兼顾当前区内地理标志证明商标  环江菜牛现实情况的同时，还考虑到了地理标志证明商标  环江菜牛快速发展</w:t>
      </w:r>
      <w:r>
        <w:rPr>
          <w:rFonts w:ascii="仿宋_GB2312" w:hAnsi="宋体" w:hint="eastAsia"/>
          <w:szCs w:val="28"/>
        </w:rPr>
        <w:lastRenderedPageBreak/>
        <w:t>的趋势和需要，在标准中体现了个别特色性、前瞻性和先进性条款，作为对地理标志证明商标  环江菜牛的指导。</w:t>
      </w:r>
    </w:p>
    <w:p w:rsidR="002920CA" w:rsidRDefault="00DF169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2920CA" w:rsidRDefault="00DF169E">
      <w:pPr>
        <w:ind w:firstLine="640"/>
        <w:rPr>
          <w:rFonts w:ascii="仿宋_GB2312" w:hAnsi="宋体"/>
          <w:szCs w:val="28"/>
        </w:rPr>
      </w:pPr>
      <w:r>
        <w:rPr>
          <w:rFonts w:ascii="仿宋_GB2312" w:hAnsi="宋体"/>
          <w:szCs w:val="28"/>
        </w:rPr>
        <w:t>本标准严格按照GB/T 1.1</w:t>
      </w:r>
      <w:r>
        <w:rPr>
          <w:rFonts w:ascii="仿宋_GB2312" w:hAnsi="宋体"/>
          <w:szCs w:val="28"/>
        </w:rPr>
        <w:t>—</w:t>
      </w:r>
      <w:r>
        <w:rPr>
          <w:rFonts w:ascii="仿宋_GB2312" w:hAnsi="宋体"/>
          <w:szCs w:val="28"/>
        </w:rPr>
        <w:t>2020《标准化工作导则  第1部分：标准化文件的结构和起草规则》的规则起草，标准主要内容参考相关标准文件并结合起草单位多年的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p>
    <w:p w:rsidR="002920CA" w:rsidRDefault="00DF169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2920CA" w:rsidRDefault="00DF169E">
      <w:pPr>
        <w:ind w:firstLine="640"/>
        <w:rPr>
          <w:rFonts w:ascii="仿宋_GB2312" w:hAnsi="宋体"/>
          <w:szCs w:val="28"/>
        </w:rPr>
      </w:pPr>
      <w:r>
        <w:rPr>
          <w:rFonts w:ascii="仿宋_GB2312" w:hAnsi="宋体" w:hint="eastAsia"/>
          <w:szCs w:val="28"/>
        </w:rPr>
        <w:t>本编制工作组承诺本标准内容与各项指标不违反相关法律法规要求，且不低于国家强制性标准、推荐性国家标准和行业标准要求。</w:t>
      </w:r>
    </w:p>
    <w:p w:rsidR="002920CA" w:rsidRDefault="00DF169E">
      <w:pPr>
        <w:ind w:firstLine="640"/>
        <w:rPr>
          <w:rFonts w:ascii="仿宋_GB2312" w:hAnsi="宋体"/>
          <w:szCs w:val="28"/>
        </w:rPr>
      </w:pPr>
      <w:r>
        <w:rPr>
          <w:rFonts w:ascii="仿宋_GB2312" w:hAnsi="宋体" w:hint="eastAsia"/>
          <w:szCs w:val="28"/>
        </w:rPr>
        <w:t>经查阅，目前国内还没有地理标志证明商标 环江菜牛的标准。与“地理标志 环江”“环江菜牛”相关的标准主要有：DB45/T 2825-2023  《地理标志产品 环江香猪》，该标准主要是针对地理标志产品 环江香猪的，不适用于地理标志证明商标 环江菜牛，属于标准空白。因此，制定团体标准《地理标志证明商标 环江菜牛》具有创新性和紧迫性。</w:t>
      </w:r>
    </w:p>
    <w:p w:rsidR="002920CA" w:rsidRDefault="00DF169E">
      <w:pPr>
        <w:autoSpaceDE w:val="0"/>
        <w:autoSpaceDN w:val="0"/>
        <w:adjustRightInd w:val="0"/>
        <w:spacing w:line="560" w:lineRule="exact"/>
        <w:ind w:firstLine="640"/>
        <w:jc w:val="left"/>
        <w:rPr>
          <w:rFonts w:ascii="黑体" w:eastAsia="黑体" w:hAnsi="黑体" w:cs="仿宋_GB2312"/>
          <w:szCs w:val="32"/>
        </w:rPr>
      </w:pPr>
      <w:bookmarkStart w:id="7" w:name="_Toc526940084"/>
      <w:r>
        <w:rPr>
          <w:rFonts w:ascii="黑体" w:eastAsia="黑体" w:hAnsi="黑体" w:cs="仿宋_GB2312" w:hint="eastAsia"/>
          <w:szCs w:val="32"/>
        </w:rPr>
        <w:t>五、</w:t>
      </w:r>
      <w:bookmarkEnd w:id="7"/>
      <w:r>
        <w:rPr>
          <w:rFonts w:ascii="黑体" w:eastAsia="黑体" w:hAnsi="黑体" w:cs="仿宋_GB2312" w:hint="eastAsia"/>
          <w:szCs w:val="32"/>
        </w:rPr>
        <w:t>主要条款的说明</w:t>
      </w:r>
    </w:p>
    <w:p w:rsidR="002920CA" w:rsidRDefault="00DF169E">
      <w:pPr>
        <w:ind w:firstLine="640"/>
        <w:rPr>
          <w:rFonts w:ascii="仿宋_GB2312" w:hAnsi="宋体"/>
          <w:szCs w:val="32"/>
          <w:lang w:val="zh-CN"/>
        </w:rPr>
      </w:pPr>
      <w:r>
        <w:rPr>
          <w:rFonts w:ascii="仿宋_GB2312" w:hAnsi="宋体" w:hint="eastAsia"/>
          <w:szCs w:val="32"/>
          <w:lang w:val="zh-CN"/>
        </w:rPr>
        <w:t>团体标准《地理标志证明商标  环江菜牛》的主要章节内容包括</w:t>
      </w:r>
      <w:r>
        <w:rPr>
          <w:rFonts w:ascii="仿宋_GB2312" w:hAnsi="宋体" w:hint="eastAsia"/>
          <w:szCs w:val="28"/>
        </w:rPr>
        <w:t>术语和定义、要求、检验方法、检验规则、标志、包装、运输和贮存</w:t>
      </w:r>
      <w:r>
        <w:rPr>
          <w:rFonts w:ascii="仿宋_GB2312" w:hAnsi="宋体" w:hint="eastAsia"/>
          <w:szCs w:val="32"/>
          <w:lang w:val="zh-CN"/>
        </w:rPr>
        <w:t>。本文件主要内容及依据来源说明如下：</w:t>
      </w:r>
    </w:p>
    <w:p w:rsidR="002920CA" w:rsidRDefault="00DF169E">
      <w:pPr>
        <w:autoSpaceDE w:val="0"/>
        <w:autoSpaceDN w:val="0"/>
        <w:adjustRightInd w:val="0"/>
        <w:spacing w:line="560" w:lineRule="exact"/>
        <w:ind w:left="640" w:firstLineChars="0" w:firstLine="0"/>
        <w:jc w:val="left"/>
        <w:rPr>
          <w:rFonts w:ascii="黑体" w:eastAsia="黑体" w:hAnsi="黑体" w:cs="仿宋_GB2312"/>
          <w:szCs w:val="32"/>
        </w:rPr>
      </w:pPr>
      <w:bookmarkStart w:id="8" w:name="_Toc526940086"/>
      <w:r>
        <w:rPr>
          <w:rFonts w:ascii="黑体" w:eastAsia="黑体" w:hAnsi="黑体" w:cs="仿宋_GB2312" w:hint="eastAsia"/>
          <w:szCs w:val="32"/>
        </w:rPr>
        <w:lastRenderedPageBreak/>
        <w:t>（一）术语和定义</w:t>
      </w:r>
    </w:p>
    <w:p w:rsidR="002920CA" w:rsidRDefault="00DF169E">
      <w:pPr>
        <w:autoSpaceDE w:val="0"/>
        <w:autoSpaceDN w:val="0"/>
        <w:adjustRightInd w:val="0"/>
        <w:spacing w:line="560" w:lineRule="exact"/>
        <w:ind w:firstLineChars="0"/>
        <w:rPr>
          <w:rFonts w:ascii="仿宋_GB2312" w:hAnsi="宋体"/>
          <w:bCs/>
          <w:szCs w:val="32"/>
        </w:rPr>
      </w:pPr>
      <w:r>
        <w:rPr>
          <w:rFonts w:ascii="仿宋_GB2312" w:hAnsi="宋体" w:hint="eastAsia"/>
          <w:bCs/>
          <w:szCs w:val="32"/>
          <w:lang w:val="zh-CN"/>
        </w:rPr>
        <w:t>在产品实际的基础上，参考相关国家、行业和地方标准的术语，从产地、质量要求等方面规定了“地理标志证明商标 环江菜牛”的术语和定义，明确其定义为：在第4章规定的范围内养殖，经T/GXAS XXX规定的方法育肥6个月以上，屠宰加工后产品质量达到第5章规定的黄牛肉。</w:t>
      </w:r>
    </w:p>
    <w:p w:rsidR="002920CA" w:rsidRDefault="00DF169E">
      <w:pPr>
        <w:ind w:firstLineChars="100" w:firstLine="320"/>
        <w:rPr>
          <w:rFonts w:ascii="黑体" w:eastAsia="黑体" w:hAnsi="黑体" w:cs="仿宋_GB2312"/>
          <w:szCs w:val="32"/>
        </w:rPr>
      </w:pPr>
      <w:r>
        <w:rPr>
          <w:rFonts w:ascii="黑体" w:eastAsia="黑体" w:hAnsi="黑体" w:cs="仿宋_GB2312" w:hint="eastAsia"/>
          <w:szCs w:val="32"/>
        </w:rPr>
        <w:t>（二）保护范围</w:t>
      </w:r>
    </w:p>
    <w:p w:rsidR="002920CA" w:rsidRDefault="00DF169E">
      <w:pPr>
        <w:ind w:firstLine="640"/>
        <w:rPr>
          <w:rFonts w:ascii="仿宋_GB2312" w:hAnsi="宋体"/>
          <w:bCs/>
          <w:szCs w:val="32"/>
          <w:lang w:val="zh-CN"/>
        </w:rPr>
      </w:pPr>
      <w:r>
        <w:rPr>
          <w:rFonts w:ascii="仿宋_GB2312" w:hAnsi="宋体" w:hint="eastAsia"/>
          <w:bCs/>
          <w:szCs w:val="32"/>
          <w:lang w:val="zh-CN"/>
        </w:rPr>
        <w:t>保护范围主要根据地理标志证明商标 环江菜牛公告中的保护范围进行明确。环江菜牛早在2010年就已获得地理标志证明商标认证，但随着环江菜牛的发展，</w:t>
      </w:r>
      <w:r>
        <w:rPr>
          <w:rFonts w:ascii="Segoe UI" w:hAnsi="Segoe UI" w:cs="Segoe UI"/>
          <w:shd w:val="clear" w:color="auto" w:fill="FFFFFF"/>
        </w:rPr>
        <w:t>城西街道办</w:t>
      </w:r>
      <w:r>
        <w:rPr>
          <w:rFonts w:ascii="Segoe UI" w:hAnsi="Segoe UI" w:cs="Segoe UI" w:hint="eastAsia"/>
          <w:shd w:val="clear" w:color="auto" w:fill="FFFFFF"/>
        </w:rPr>
        <w:t>这个地区</w:t>
      </w:r>
      <w:r>
        <w:rPr>
          <w:rFonts w:ascii="仿宋_GB2312" w:hAnsi="宋体" w:hint="eastAsia"/>
          <w:bCs/>
          <w:szCs w:val="32"/>
          <w:lang w:val="zh-CN"/>
        </w:rPr>
        <w:t>气候温暖湿润，水草充足，与其他乡镇一样，具备适合环江菜牛生长的自然条件，能够保证菜牛的品质，</w:t>
      </w:r>
      <w:r>
        <w:rPr>
          <w:rFonts w:ascii="Segoe UI" w:hAnsi="Segoe UI" w:cs="Segoe UI" w:hint="eastAsia"/>
          <w:shd w:val="clear" w:color="auto" w:fill="FFFFFF"/>
        </w:rPr>
        <w:t>该地区已发展成为</w:t>
      </w:r>
      <w:r>
        <w:rPr>
          <w:rFonts w:hint="eastAsia"/>
        </w:rPr>
        <w:t>环江毛南族自治县的</w:t>
      </w:r>
      <w:r>
        <w:rPr>
          <w:rFonts w:ascii="Segoe UI" w:hAnsi="Segoe UI" w:cs="Segoe UI" w:hint="eastAsia"/>
          <w:shd w:val="clear" w:color="auto" w:fill="FFFFFF"/>
        </w:rPr>
        <w:t>主要</w:t>
      </w:r>
      <w:r>
        <w:rPr>
          <w:rFonts w:ascii="Segoe UI" w:hAnsi="Segoe UI" w:cs="Segoe UI"/>
          <w:shd w:val="clear" w:color="auto" w:fill="FFFFFF"/>
        </w:rPr>
        <w:t>菜牛养殖</w:t>
      </w:r>
      <w:r>
        <w:rPr>
          <w:rFonts w:ascii="Segoe UI" w:hAnsi="Segoe UI" w:cs="Segoe UI" w:hint="eastAsia"/>
          <w:shd w:val="clear" w:color="auto" w:fill="FFFFFF"/>
        </w:rPr>
        <w:t>地区</w:t>
      </w:r>
      <w:r>
        <w:rPr>
          <w:rFonts w:ascii="仿宋_GB2312" w:hAnsi="宋体" w:hint="eastAsia"/>
          <w:bCs/>
          <w:szCs w:val="32"/>
          <w:lang w:val="zh-CN"/>
        </w:rPr>
        <w:t>，因此也纳入了保护范围。</w:t>
      </w:r>
    </w:p>
    <w:p w:rsidR="002920CA" w:rsidRDefault="00DF169E">
      <w:pPr>
        <w:ind w:firstLineChars="0" w:firstLine="0"/>
        <w:jc w:val="center"/>
        <w:rPr>
          <w:rFonts w:ascii="仿宋_GB2312" w:hAnsi="宋体"/>
          <w:bCs/>
          <w:sz w:val="28"/>
          <w:szCs w:val="28"/>
          <w:lang w:val="zh-CN"/>
        </w:rPr>
      </w:pPr>
      <w:r>
        <w:rPr>
          <w:noProof/>
        </w:rPr>
        <w:drawing>
          <wp:inline distT="0" distB="0" distL="0" distR="0">
            <wp:extent cx="5755640" cy="2873375"/>
            <wp:effectExtent l="19050" t="19050" r="16510" b="222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754538" cy="2873225"/>
                    </a:xfrm>
                    <a:prstGeom prst="rect">
                      <a:avLst/>
                    </a:prstGeom>
                    <a:ln>
                      <a:solidFill>
                        <a:schemeClr val="tx1"/>
                      </a:solidFill>
                    </a:ln>
                  </pic:spPr>
                </pic:pic>
              </a:graphicData>
            </a:graphic>
          </wp:inline>
        </w:drawing>
      </w:r>
    </w:p>
    <w:p w:rsidR="002920CA" w:rsidRDefault="00DF169E">
      <w:pPr>
        <w:ind w:firstLine="640"/>
        <w:jc w:val="center"/>
        <w:rPr>
          <w:rFonts w:ascii="仿宋_GB2312" w:hAnsi="宋体"/>
          <w:bCs/>
          <w:szCs w:val="32"/>
          <w:lang w:val="zh-CN"/>
        </w:rPr>
      </w:pPr>
      <w:r>
        <w:rPr>
          <w:rFonts w:ascii="仿宋_GB2312" w:hAnsi="宋体" w:hint="eastAsia"/>
          <w:bCs/>
          <w:szCs w:val="32"/>
          <w:lang w:val="zh-CN"/>
        </w:rPr>
        <w:t>来源：环江菜牛地理标志证明商标审定公告</w:t>
      </w:r>
    </w:p>
    <w:p w:rsidR="002920CA" w:rsidRDefault="00DF169E">
      <w:pPr>
        <w:autoSpaceDE w:val="0"/>
        <w:autoSpaceDN w:val="0"/>
        <w:adjustRightInd w:val="0"/>
        <w:spacing w:line="560" w:lineRule="exact"/>
        <w:ind w:firstLineChars="0" w:firstLine="640"/>
        <w:jc w:val="left"/>
        <w:rPr>
          <w:rFonts w:ascii="黑体" w:eastAsia="黑体" w:hAnsi="黑体" w:cs="仿宋_GB2312"/>
          <w:szCs w:val="32"/>
        </w:rPr>
      </w:pPr>
      <w:bookmarkStart w:id="9" w:name="OLE_LINK1"/>
      <w:bookmarkStart w:id="10" w:name="OLE_LINK2"/>
      <w:r>
        <w:rPr>
          <w:rFonts w:ascii="黑体" w:eastAsia="黑体" w:hAnsi="黑体" w:cs="仿宋_GB2312" w:hint="eastAsia"/>
          <w:szCs w:val="32"/>
        </w:rPr>
        <w:t>（三）要求</w:t>
      </w:r>
    </w:p>
    <w:p w:rsidR="002920CA" w:rsidRDefault="00DF169E">
      <w:pPr>
        <w:autoSpaceDE w:val="0"/>
        <w:autoSpaceDN w:val="0"/>
        <w:adjustRightInd w:val="0"/>
        <w:spacing w:line="560" w:lineRule="exact"/>
        <w:ind w:firstLine="640"/>
        <w:rPr>
          <w:rFonts w:ascii="仿宋_GB2312" w:hAnsi="宋体"/>
          <w:bCs/>
          <w:szCs w:val="32"/>
          <w:lang w:val="zh-CN"/>
        </w:rPr>
      </w:pPr>
      <w:r>
        <w:rPr>
          <w:rFonts w:ascii="仿宋_GB2312" w:hAnsi="宋体" w:hint="eastAsia"/>
          <w:bCs/>
          <w:szCs w:val="32"/>
          <w:lang w:val="zh-CN"/>
        </w:rPr>
        <w:lastRenderedPageBreak/>
        <w:t>在2024年，环江菜牛（环江香牛）也获得了全国名特优新农产品的称号，并出具了营养品质评价鉴定报告，进一步证明了环江菜牛的独特产品特性，鉴定报告也给出了环江菜牛的综合评价意见为：该产品在环江毛南族自治县独特的生产环境下，具有牛头小颈短，胸宽而深，背腰平直，后躯宽而长，全身皮毛细密光亮呈黄色，肌肉</w:t>
      </w:r>
      <w:proofErr w:type="gramStart"/>
      <w:r>
        <w:rPr>
          <w:rFonts w:ascii="仿宋_GB2312" w:hAnsi="宋体" w:hint="eastAsia"/>
          <w:bCs/>
          <w:szCs w:val="32"/>
          <w:lang w:val="zh-CN"/>
        </w:rPr>
        <w:t>暗红有</w:t>
      </w:r>
      <w:proofErr w:type="gramEnd"/>
      <w:r>
        <w:rPr>
          <w:rFonts w:ascii="仿宋_GB2312" w:hAnsi="宋体" w:hint="eastAsia"/>
          <w:bCs/>
          <w:szCs w:val="32"/>
          <w:lang w:val="zh-CN"/>
        </w:rPr>
        <w:t>光泽、纹理清晰，脂肪乳白，肉质紧密，富有弹性，煮熟后肉质鲜嫩，肉汤鲜香浓郁的感官特征；内在品质蛋白质、肌内脂肪、胆固醇、谷氨酸+天冬氨酸(鲜味氨基酸)均优于同类产品。综合评价该产品具有全国名特优新农产品的独特营养品质特征。为保证所定各项指标的合理性，起草单位还抽检了地理标志证明商标保护范围内5个比较有代表性的区域（下南乡、洛阳镇、思恩镇、明伦镇、大安乡）的环江菜牛的肋间肉进行检测，进一步验证环江菜牛的牛肉品质。</w:t>
      </w:r>
    </w:p>
    <w:p w:rsidR="002920CA" w:rsidRDefault="00DF169E">
      <w:pPr>
        <w:ind w:firstLineChars="0" w:firstLine="0"/>
        <w:jc w:val="center"/>
        <w:rPr>
          <w:rFonts w:ascii="黑体" w:eastAsia="黑体" w:hAnsi="黑体" w:cs="仿宋_GB2312"/>
          <w:szCs w:val="32"/>
        </w:rPr>
      </w:pPr>
      <w:r>
        <w:rPr>
          <w:noProof/>
        </w:rPr>
        <w:lastRenderedPageBreak/>
        <w:drawing>
          <wp:inline distT="0" distB="0" distL="0" distR="0">
            <wp:extent cx="4215130" cy="5248275"/>
            <wp:effectExtent l="19050" t="19050" r="1397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4231248" cy="5268000"/>
                    </a:xfrm>
                    <a:prstGeom prst="rect">
                      <a:avLst/>
                    </a:prstGeom>
                    <a:ln>
                      <a:solidFill>
                        <a:schemeClr val="tx1"/>
                      </a:solidFill>
                    </a:ln>
                  </pic:spPr>
                </pic:pic>
              </a:graphicData>
            </a:graphic>
          </wp:inline>
        </w:drawing>
      </w:r>
    </w:p>
    <w:p w:rsidR="002920CA" w:rsidRDefault="00DF169E">
      <w:pPr>
        <w:ind w:firstLineChars="0" w:firstLine="0"/>
        <w:jc w:val="center"/>
        <w:rPr>
          <w:rFonts w:ascii="仿宋_GB2312" w:hAnsi="宋体"/>
          <w:bCs/>
          <w:szCs w:val="32"/>
          <w:lang w:val="zh-CN"/>
        </w:rPr>
      </w:pPr>
      <w:r>
        <w:rPr>
          <w:rFonts w:ascii="仿宋_GB2312" w:hAnsi="宋体" w:hint="eastAsia"/>
          <w:bCs/>
          <w:szCs w:val="32"/>
          <w:lang w:val="zh-CN"/>
        </w:rPr>
        <w:t>来源：全国名特优新农产品营养品质评价鉴定报告</w:t>
      </w:r>
    </w:p>
    <w:bookmarkEnd w:id="9"/>
    <w:bookmarkEnd w:id="10"/>
    <w:p w:rsidR="002920CA" w:rsidRDefault="00DF169E">
      <w:pPr>
        <w:pStyle w:val="aff4"/>
        <w:numPr>
          <w:ilvl w:val="0"/>
          <w:numId w:val="17"/>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t>感官要求</w:t>
      </w:r>
    </w:p>
    <w:p w:rsidR="002920CA" w:rsidRDefault="00DF169E">
      <w:pPr>
        <w:ind w:firstLine="640"/>
        <w:rPr>
          <w:rFonts w:ascii="仿宋_GB2312" w:hAnsi="宋体"/>
          <w:bCs/>
          <w:szCs w:val="32"/>
          <w:lang w:val="zh-CN"/>
        </w:rPr>
      </w:pPr>
      <w:r>
        <w:rPr>
          <w:rFonts w:ascii="仿宋_GB2312" w:hAnsi="宋体" w:hint="eastAsia"/>
          <w:bCs/>
          <w:szCs w:val="32"/>
          <w:lang w:val="zh-CN"/>
        </w:rPr>
        <w:t>主要检测了色泽、组织形态、滋味、气味和杂质，检测结果汇总见表1。地理标志证明商标公告中对环江菜牛的感官描述为：“环江菜牛”肉质凝重细嫩,肥瘦相间，其肌肉和脂肪之间呈大理石状，俗称“三隔肉”，尤其是肋间肉比一般牛肉特别肥厚，肉色鲜红而有光泽，脂肪质地坚硬、洁白或略带黄色，肉味甘甜鲜美芳香。而全国名特优新农产品营养品质评价鉴定报告中对环江菜牛的感官检测结果为：肌肉</w:t>
      </w:r>
      <w:proofErr w:type="gramStart"/>
      <w:r>
        <w:rPr>
          <w:rFonts w:ascii="仿宋_GB2312" w:hAnsi="宋体" w:hint="eastAsia"/>
          <w:bCs/>
          <w:szCs w:val="32"/>
          <w:lang w:val="zh-CN"/>
        </w:rPr>
        <w:t>暗红有</w:t>
      </w:r>
      <w:proofErr w:type="gramEnd"/>
      <w:r>
        <w:rPr>
          <w:rFonts w:ascii="仿宋_GB2312" w:hAnsi="宋体" w:hint="eastAsia"/>
          <w:bCs/>
          <w:szCs w:val="32"/>
          <w:lang w:val="zh-CN"/>
        </w:rPr>
        <w:t>光泽、纹理清晰，脂肪乳</w:t>
      </w:r>
      <w:r>
        <w:rPr>
          <w:rFonts w:ascii="仿宋_GB2312" w:hAnsi="宋体" w:hint="eastAsia"/>
          <w:bCs/>
          <w:szCs w:val="32"/>
          <w:lang w:val="zh-CN"/>
        </w:rPr>
        <w:lastRenderedPageBreak/>
        <w:t>白，肉质紧密，富有弹性，煮熟后肉质鲜嫩，肉汤鲜香浓郁。并且结合抽检的5家企业结果分析可知，在色泽上，肌肉应有光泽，颜色深红或鲜红；脂肪乳白色或微黄色；在组织形态上，大理石花纹丰富均匀，肌肉指压凹陷立即恢复，结合公告和鉴定报告，规定组织形态为肉质凝重细嫩，肥瘦相间，其肌间脂肪呈大理石花纹状，肋间肉层次分明呈“三隔肉”状；在滋味、气味上，为突出菜牛的特点，明确为具有牛肉固有的浓郁香味和</w:t>
      </w:r>
      <w:proofErr w:type="gramStart"/>
      <w:r>
        <w:rPr>
          <w:rFonts w:ascii="仿宋_GB2312" w:hAnsi="宋体" w:hint="eastAsia"/>
          <w:bCs/>
          <w:szCs w:val="32"/>
          <w:lang w:val="zh-CN"/>
        </w:rPr>
        <w:t>脂香</w:t>
      </w:r>
      <w:proofErr w:type="gramEnd"/>
      <w:r>
        <w:rPr>
          <w:rFonts w:ascii="仿宋_GB2312" w:hAnsi="宋体" w:hint="eastAsia"/>
          <w:bCs/>
          <w:szCs w:val="32"/>
          <w:lang w:val="zh-CN"/>
        </w:rPr>
        <w:t>，兼具淡淡的青草香味；在杂质上，应无血斑、碎骨、浮毛、病变组织以及其他肉眼可见杂质。</w:t>
      </w:r>
    </w:p>
    <w:p w:rsidR="002920CA" w:rsidRDefault="00DF169E">
      <w:pPr>
        <w:autoSpaceDE w:val="0"/>
        <w:autoSpaceDN w:val="0"/>
        <w:adjustRightInd w:val="0"/>
        <w:spacing w:line="560" w:lineRule="exact"/>
        <w:ind w:firstLineChars="0" w:firstLine="0"/>
        <w:jc w:val="center"/>
        <w:rPr>
          <w:rFonts w:ascii="仿宋" w:eastAsia="仿宋" w:hAnsi="仿宋"/>
          <w:szCs w:val="32"/>
          <w:lang w:val="zh-CN"/>
        </w:rPr>
      </w:pPr>
      <w:r>
        <w:rPr>
          <w:rFonts w:ascii="仿宋" w:eastAsia="仿宋" w:hAnsi="仿宋" w:cs="宋体" w:hint="eastAsia"/>
          <w:color w:val="000000"/>
          <w:kern w:val="0"/>
          <w:szCs w:val="32"/>
        </w:rPr>
        <w:t>表1  环江菜牛感官要求抽检数据汇总</w:t>
      </w:r>
    </w:p>
    <w:tbl>
      <w:tblPr>
        <w:tblW w:w="5003" w:type="pct"/>
        <w:tblLayout w:type="fixed"/>
        <w:tblLook w:val="04A0" w:firstRow="1" w:lastRow="0" w:firstColumn="1" w:lastColumn="0" w:noHBand="0" w:noVBand="1"/>
      </w:tblPr>
      <w:tblGrid>
        <w:gridCol w:w="994"/>
        <w:gridCol w:w="1666"/>
        <w:gridCol w:w="2127"/>
        <w:gridCol w:w="2125"/>
        <w:gridCol w:w="2268"/>
      </w:tblGrid>
      <w:tr w:rsidR="002920CA" w:rsidTr="001159DB">
        <w:trPr>
          <w:trHeight w:val="397"/>
          <w:tblHeader/>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b/>
                <w:kern w:val="0"/>
                <w:sz w:val="24"/>
              </w:rPr>
            </w:pPr>
            <w:r>
              <w:rPr>
                <w:rFonts w:ascii="宋体" w:eastAsia="宋体" w:hAnsi="宋体" w:hint="eastAsia"/>
                <w:b/>
                <w:kern w:val="0"/>
                <w:sz w:val="24"/>
              </w:rPr>
              <w:t>抽检企业</w:t>
            </w:r>
          </w:p>
        </w:tc>
        <w:tc>
          <w:tcPr>
            <w:tcW w:w="90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jc w:val="center"/>
              <w:rPr>
                <w:rFonts w:ascii="宋体" w:eastAsia="宋体" w:hAnsi="宋体"/>
                <w:b/>
                <w:kern w:val="0"/>
                <w:sz w:val="24"/>
              </w:rPr>
            </w:pPr>
            <w:r>
              <w:rPr>
                <w:rFonts w:ascii="宋体" w:eastAsia="宋体" w:hAnsi="宋体" w:hint="eastAsia"/>
                <w:b/>
                <w:kern w:val="0"/>
                <w:sz w:val="24"/>
              </w:rPr>
              <w:t>色泽</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jc w:val="center"/>
              <w:rPr>
                <w:rFonts w:ascii="楷体_GB2312" w:eastAsia="宋体" w:hAnsi="宋体" w:cs="宋体"/>
                <w:b/>
                <w:kern w:val="0"/>
                <w:sz w:val="26"/>
                <w:szCs w:val="26"/>
              </w:rPr>
            </w:pPr>
            <w:r>
              <w:rPr>
                <w:rFonts w:ascii="宋体" w:eastAsia="宋体" w:hAnsi="宋体" w:hint="eastAsia"/>
                <w:b/>
                <w:kern w:val="0"/>
                <w:sz w:val="24"/>
              </w:rPr>
              <w:t>组织形态</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jc w:val="center"/>
              <w:rPr>
                <w:rFonts w:ascii="楷体_GB2312" w:eastAsia="宋体" w:hAnsi="宋体" w:cs="宋体"/>
                <w:b/>
                <w:kern w:val="0"/>
                <w:sz w:val="26"/>
                <w:szCs w:val="26"/>
              </w:rPr>
            </w:pPr>
            <w:r>
              <w:rPr>
                <w:rFonts w:ascii="宋体" w:eastAsia="宋体" w:hAnsi="宋体" w:hint="eastAsia"/>
                <w:b/>
                <w:kern w:val="0"/>
                <w:sz w:val="24"/>
              </w:rPr>
              <w:t>滋味、气味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jc w:val="center"/>
              <w:rPr>
                <w:rFonts w:ascii="楷体_GB2312" w:eastAsia="宋体" w:hAnsi="宋体" w:cs="宋体"/>
                <w:b/>
                <w:kern w:val="0"/>
                <w:sz w:val="26"/>
                <w:szCs w:val="26"/>
              </w:rPr>
            </w:pPr>
            <w:r>
              <w:rPr>
                <w:rFonts w:ascii="宋体" w:eastAsia="宋体" w:hAnsi="宋体" w:hint="eastAsia"/>
                <w:b/>
                <w:kern w:val="0"/>
                <w:sz w:val="24"/>
              </w:rPr>
              <w:t>杂质</w:t>
            </w:r>
          </w:p>
        </w:tc>
      </w:tr>
      <w:tr w:rsidR="002920CA" w:rsidTr="001159DB">
        <w:trPr>
          <w:trHeight w:val="397"/>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kern w:val="0"/>
                <w:sz w:val="24"/>
              </w:rPr>
            </w:pPr>
            <w:r>
              <w:rPr>
                <w:rFonts w:ascii="宋体" w:eastAsia="宋体" w:hAnsi="宋体" w:hint="eastAsia"/>
                <w:kern w:val="0"/>
                <w:sz w:val="24"/>
              </w:rPr>
              <w:t>企业1</w:t>
            </w:r>
          </w:p>
        </w:tc>
        <w:tc>
          <w:tcPr>
            <w:tcW w:w="907" w:type="pct"/>
            <w:tcBorders>
              <w:top w:val="single" w:sz="4" w:space="0" w:color="000000"/>
              <w:left w:val="nil"/>
              <w:bottom w:val="single" w:sz="4" w:space="0" w:color="000000"/>
              <w:right w:val="single" w:sz="4" w:space="0" w:color="000000"/>
            </w:tcBorders>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肌肉有光泽，颜色深红；脂肪微黄</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大理石花纹丰富均匀，肌肉指压凹陷立即恢复</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具有牛肉固有的浓郁香味和</w:t>
            </w:r>
            <w:proofErr w:type="gramStart"/>
            <w:r>
              <w:rPr>
                <w:rFonts w:ascii="宋体" w:eastAsia="宋体" w:hAnsi="宋体" w:hint="eastAsia"/>
                <w:kern w:val="0"/>
                <w:sz w:val="24"/>
              </w:rPr>
              <w:t>脂香</w:t>
            </w:r>
            <w:proofErr w:type="gramEnd"/>
            <w:r>
              <w:rPr>
                <w:rFonts w:ascii="宋体" w:eastAsia="宋体" w:hAnsi="宋体" w:hint="eastAsia"/>
                <w:kern w:val="0"/>
                <w:sz w:val="24"/>
              </w:rPr>
              <w:t>，兼具淡淡的青草香味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无血斑、碎骨、浮毛、病变组织以及其他肉眼可见杂质</w:t>
            </w:r>
          </w:p>
        </w:tc>
      </w:tr>
      <w:tr w:rsidR="002920CA" w:rsidTr="001159DB">
        <w:trPr>
          <w:trHeight w:val="397"/>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kern w:val="0"/>
                <w:sz w:val="24"/>
              </w:rPr>
            </w:pPr>
            <w:r>
              <w:rPr>
                <w:rFonts w:ascii="宋体" w:eastAsia="宋体" w:hAnsi="宋体" w:hint="eastAsia"/>
                <w:kern w:val="0"/>
                <w:sz w:val="24"/>
              </w:rPr>
              <w:t>企业2</w:t>
            </w:r>
          </w:p>
        </w:tc>
        <w:tc>
          <w:tcPr>
            <w:tcW w:w="907" w:type="pct"/>
            <w:tcBorders>
              <w:top w:val="single" w:sz="4" w:space="0" w:color="000000"/>
              <w:left w:val="nil"/>
              <w:bottom w:val="single" w:sz="4" w:space="0" w:color="000000"/>
              <w:right w:val="single" w:sz="4" w:space="0" w:color="000000"/>
            </w:tcBorders>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肌肉有光泽，颜色深红；脂肪微黄</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大理石花纹丰富均匀，肌肉指压凹陷立即恢复</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具有牛肉固有的浓郁香味和</w:t>
            </w:r>
            <w:proofErr w:type="gramStart"/>
            <w:r>
              <w:rPr>
                <w:rFonts w:ascii="宋体" w:eastAsia="宋体" w:hAnsi="宋体" w:hint="eastAsia"/>
                <w:kern w:val="0"/>
                <w:sz w:val="24"/>
              </w:rPr>
              <w:t>脂香</w:t>
            </w:r>
            <w:proofErr w:type="gramEnd"/>
            <w:r>
              <w:rPr>
                <w:rFonts w:ascii="宋体" w:eastAsia="宋体" w:hAnsi="宋体" w:hint="eastAsia"/>
                <w:kern w:val="0"/>
                <w:sz w:val="24"/>
              </w:rPr>
              <w:t>，兼具淡淡的青草香味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无血斑、碎骨、浮毛、病变组织以及其他肉眼可见杂质</w:t>
            </w:r>
          </w:p>
        </w:tc>
      </w:tr>
      <w:tr w:rsidR="002920CA" w:rsidTr="001159DB">
        <w:trPr>
          <w:trHeight w:val="397"/>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kern w:val="0"/>
                <w:sz w:val="24"/>
              </w:rPr>
            </w:pPr>
            <w:r>
              <w:rPr>
                <w:rFonts w:ascii="宋体" w:eastAsia="宋体" w:hAnsi="宋体" w:hint="eastAsia"/>
                <w:kern w:val="0"/>
                <w:sz w:val="24"/>
              </w:rPr>
              <w:t>企业3</w:t>
            </w:r>
          </w:p>
        </w:tc>
        <w:tc>
          <w:tcPr>
            <w:tcW w:w="907" w:type="pct"/>
            <w:tcBorders>
              <w:top w:val="single" w:sz="4" w:space="0" w:color="000000"/>
              <w:left w:val="nil"/>
              <w:bottom w:val="single" w:sz="4" w:space="0" w:color="000000"/>
              <w:right w:val="single" w:sz="4" w:space="0" w:color="000000"/>
            </w:tcBorders>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肌肉有光泽，颜色鲜红；脂肪乳白色</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大理石花纹丰富均匀，肌肉指压凹陷立即恢复</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具有牛肉固有的浓郁香味和</w:t>
            </w:r>
            <w:proofErr w:type="gramStart"/>
            <w:r>
              <w:rPr>
                <w:rFonts w:ascii="宋体" w:eastAsia="宋体" w:hAnsi="宋体" w:hint="eastAsia"/>
                <w:kern w:val="0"/>
                <w:sz w:val="24"/>
              </w:rPr>
              <w:t>脂香</w:t>
            </w:r>
            <w:proofErr w:type="gramEnd"/>
            <w:r>
              <w:rPr>
                <w:rFonts w:ascii="宋体" w:eastAsia="宋体" w:hAnsi="宋体" w:hint="eastAsia"/>
                <w:kern w:val="0"/>
                <w:sz w:val="24"/>
              </w:rPr>
              <w:t>，兼具淡淡的青草香味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无血斑、碎骨、浮毛、病变组织以及其他肉眼可见杂质</w:t>
            </w:r>
          </w:p>
        </w:tc>
      </w:tr>
      <w:tr w:rsidR="002920CA" w:rsidTr="001159DB">
        <w:trPr>
          <w:trHeight w:val="397"/>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kern w:val="0"/>
                <w:sz w:val="24"/>
              </w:rPr>
            </w:pPr>
            <w:r>
              <w:rPr>
                <w:rFonts w:ascii="宋体" w:eastAsia="宋体" w:hAnsi="宋体" w:hint="eastAsia"/>
                <w:kern w:val="0"/>
                <w:sz w:val="24"/>
              </w:rPr>
              <w:t>企业4</w:t>
            </w:r>
          </w:p>
        </w:tc>
        <w:tc>
          <w:tcPr>
            <w:tcW w:w="907" w:type="pct"/>
            <w:tcBorders>
              <w:top w:val="single" w:sz="4" w:space="0" w:color="000000"/>
              <w:left w:val="nil"/>
              <w:bottom w:val="single" w:sz="4" w:space="0" w:color="000000"/>
              <w:right w:val="single" w:sz="4" w:space="0" w:color="000000"/>
            </w:tcBorders>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肌肉有光泽，颜色鲜红；脂肪微黄</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大理石花纹丰富均匀，肌肉指压凹陷立即恢复</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具有牛肉固有的浓郁香味和</w:t>
            </w:r>
            <w:proofErr w:type="gramStart"/>
            <w:r>
              <w:rPr>
                <w:rFonts w:ascii="宋体" w:eastAsia="宋体" w:hAnsi="宋体" w:hint="eastAsia"/>
                <w:kern w:val="0"/>
                <w:sz w:val="24"/>
              </w:rPr>
              <w:t>脂香</w:t>
            </w:r>
            <w:proofErr w:type="gramEnd"/>
            <w:r>
              <w:rPr>
                <w:rFonts w:ascii="宋体" w:eastAsia="宋体" w:hAnsi="宋体" w:hint="eastAsia"/>
                <w:kern w:val="0"/>
                <w:sz w:val="24"/>
              </w:rPr>
              <w:t>，兼具淡淡的青草香味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t>无血斑、碎骨、浮毛、病变组织以及其他肉眼可见杂质</w:t>
            </w:r>
          </w:p>
        </w:tc>
      </w:tr>
      <w:tr w:rsidR="002920CA" w:rsidTr="001159DB">
        <w:trPr>
          <w:trHeight w:val="397"/>
        </w:trPr>
        <w:tc>
          <w:tcPr>
            <w:tcW w:w="541" w:type="pct"/>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adjustRightInd w:val="0"/>
              <w:spacing w:line="400" w:lineRule="exact"/>
              <w:ind w:firstLineChars="0" w:firstLine="0"/>
              <w:jc w:val="center"/>
              <w:rPr>
                <w:rFonts w:ascii="宋体" w:eastAsia="宋体" w:hAnsi="宋体"/>
                <w:kern w:val="0"/>
                <w:sz w:val="24"/>
              </w:rPr>
            </w:pPr>
            <w:r>
              <w:rPr>
                <w:rFonts w:ascii="宋体" w:eastAsia="宋体" w:hAnsi="宋体" w:hint="eastAsia"/>
                <w:kern w:val="0"/>
                <w:sz w:val="24"/>
              </w:rPr>
              <w:t>企业5</w:t>
            </w:r>
          </w:p>
        </w:tc>
        <w:tc>
          <w:tcPr>
            <w:tcW w:w="907" w:type="pct"/>
            <w:tcBorders>
              <w:top w:val="single" w:sz="4" w:space="0" w:color="000000"/>
              <w:left w:val="nil"/>
              <w:bottom w:val="single" w:sz="4" w:space="0" w:color="000000"/>
              <w:right w:val="single" w:sz="4" w:space="0" w:color="000000"/>
            </w:tcBorders>
            <w:vAlign w:val="center"/>
          </w:tcPr>
          <w:p w:rsidR="002920CA" w:rsidRDefault="00DF169E">
            <w:pPr>
              <w:widowControl/>
              <w:adjustRightInd w:val="0"/>
              <w:spacing w:line="400" w:lineRule="exact"/>
              <w:ind w:firstLineChars="0" w:firstLine="0"/>
              <w:rPr>
                <w:rFonts w:ascii="宋体" w:eastAsia="宋体" w:hAnsi="宋体"/>
                <w:kern w:val="0"/>
                <w:sz w:val="24"/>
              </w:rPr>
            </w:pPr>
            <w:bookmarkStart w:id="11" w:name="OLE_LINK5"/>
            <w:bookmarkStart w:id="12" w:name="OLE_LINK7"/>
            <w:r>
              <w:rPr>
                <w:rFonts w:ascii="宋体" w:eastAsia="宋体" w:hAnsi="宋体" w:hint="eastAsia"/>
                <w:kern w:val="0"/>
                <w:sz w:val="24"/>
              </w:rPr>
              <w:t>肌肉有光泽，</w:t>
            </w:r>
            <w:r>
              <w:rPr>
                <w:rFonts w:ascii="宋体" w:eastAsia="宋体" w:hAnsi="宋体" w:hint="eastAsia"/>
                <w:kern w:val="0"/>
                <w:sz w:val="24"/>
              </w:rPr>
              <w:lastRenderedPageBreak/>
              <w:t>颜色深红；脂肪</w:t>
            </w:r>
            <w:bookmarkEnd w:id="11"/>
            <w:bookmarkEnd w:id="12"/>
            <w:r>
              <w:rPr>
                <w:rFonts w:ascii="宋体" w:eastAsia="宋体" w:hAnsi="宋体" w:hint="eastAsia"/>
                <w:kern w:val="0"/>
                <w:sz w:val="24"/>
              </w:rPr>
              <w:t>微黄</w:t>
            </w:r>
          </w:p>
        </w:tc>
        <w:tc>
          <w:tcPr>
            <w:tcW w:w="1158"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lastRenderedPageBreak/>
              <w:t>大理石花纹丰富</w:t>
            </w:r>
            <w:r>
              <w:rPr>
                <w:rFonts w:ascii="宋体" w:eastAsia="宋体" w:hAnsi="宋体" w:hint="eastAsia"/>
                <w:kern w:val="0"/>
                <w:sz w:val="24"/>
              </w:rPr>
              <w:lastRenderedPageBreak/>
              <w:t>均匀，肌肉指压凹陷立即恢复</w:t>
            </w:r>
          </w:p>
        </w:tc>
        <w:tc>
          <w:tcPr>
            <w:tcW w:w="1157"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lastRenderedPageBreak/>
              <w:t>具有牛肉固有的</w:t>
            </w:r>
            <w:r>
              <w:rPr>
                <w:rFonts w:ascii="宋体" w:eastAsia="宋体" w:hAnsi="宋体" w:hint="eastAsia"/>
                <w:kern w:val="0"/>
                <w:sz w:val="24"/>
              </w:rPr>
              <w:lastRenderedPageBreak/>
              <w:t>浓郁香味和</w:t>
            </w:r>
            <w:proofErr w:type="gramStart"/>
            <w:r>
              <w:rPr>
                <w:rFonts w:ascii="宋体" w:eastAsia="宋体" w:hAnsi="宋体" w:hint="eastAsia"/>
                <w:kern w:val="0"/>
                <w:sz w:val="24"/>
              </w:rPr>
              <w:t>脂香</w:t>
            </w:r>
            <w:proofErr w:type="gramEnd"/>
            <w:r>
              <w:rPr>
                <w:rFonts w:ascii="宋体" w:eastAsia="宋体" w:hAnsi="宋体" w:hint="eastAsia"/>
                <w:kern w:val="0"/>
                <w:sz w:val="24"/>
              </w:rPr>
              <w:t>，兼具淡淡的青草香味</w:t>
            </w:r>
          </w:p>
        </w:tc>
        <w:tc>
          <w:tcPr>
            <w:tcW w:w="1235" w:type="pct"/>
            <w:tcBorders>
              <w:top w:val="single" w:sz="4" w:space="0" w:color="000000"/>
              <w:left w:val="nil"/>
              <w:bottom w:val="single" w:sz="4" w:space="0" w:color="000000"/>
              <w:right w:val="single" w:sz="4" w:space="0" w:color="000000"/>
            </w:tcBorders>
            <w:noWrap/>
            <w:vAlign w:val="center"/>
          </w:tcPr>
          <w:p w:rsidR="002920CA" w:rsidRDefault="00DF169E">
            <w:pPr>
              <w:widowControl/>
              <w:adjustRightInd w:val="0"/>
              <w:spacing w:line="400" w:lineRule="exact"/>
              <w:ind w:firstLineChars="0" w:firstLine="0"/>
              <w:rPr>
                <w:rFonts w:ascii="宋体" w:eastAsia="宋体" w:hAnsi="宋体"/>
                <w:kern w:val="0"/>
                <w:sz w:val="24"/>
              </w:rPr>
            </w:pPr>
            <w:r>
              <w:rPr>
                <w:rFonts w:ascii="宋体" w:eastAsia="宋体" w:hAnsi="宋体" w:hint="eastAsia"/>
                <w:kern w:val="0"/>
                <w:sz w:val="24"/>
              </w:rPr>
              <w:lastRenderedPageBreak/>
              <w:t>无血斑、碎骨、浮毛、</w:t>
            </w:r>
            <w:r>
              <w:rPr>
                <w:rFonts w:ascii="宋体" w:eastAsia="宋体" w:hAnsi="宋体" w:hint="eastAsia"/>
                <w:kern w:val="0"/>
                <w:sz w:val="24"/>
              </w:rPr>
              <w:lastRenderedPageBreak/>
              <w:t>病变组织以及其他肉眼可见杂质</w:t>
            </w:r>
          </w:p>
        </w:tc>
      </w:tr>
    </w:tbl>
    <w:p w:rsidR="002920CA" w:rsidRDefault="00DF169E">
      <w:pPr>
        <w:pStyle w:val="aff4"/>
        <w:numPr>
          <w:ilvl w:val="0"/>
          <w:numId w:val="17"/>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lastRenderedPageBreak/>
        <w:t>理化指标</w:t>
      </w:r>
    </w:p>
    <w:p w:rsidR="00DF169E" w:rsidRDefault="00DF169E" w:rsidP="00DF169E">
      <w:pPr>
        <w:autoSpaceDE w:val="0"/>
        <w:autoSpaceDN w:val="0"/>
        <w:adjustRightInd w:val="0"/>
        <w:spacing w:line="560" w:lineRule="exact"/>
        <w:ind w:firstLine="640"/>
        <w:rPr>
          <w:rFonts w:ascii="仿宋_GB2312" w:hAnsi="宋体"/>
          <w:bCs/>
          <w:szCs w:val="32"/>
          <w:lang w:val="zh-CN"/>
        </w:rPr>
      </w:pPr>
      <w:r>
        <w:rPr>
          <w:rFonts w:ascii="仿宋_GB2312" w:hAnsi="宋体" w:hint="eastAsia"/>
          <w:bCs/>
          <w:szCs w:val="32"/>
          <w:lang w:val="zh-CN"/>
        </w:rPr>
        <w:t>理化指标主要结合地理标志证明商标环江菜牛的公告中“第六条 使用环江菜牛地理标志证明商标的商品特定品质”中对环江菜牛的商品描述进行确定，并抽检了环江县内最具有代表性的下南乡、思恩镇、洛阳镇、大安乡、明伦镇等5个乡镇养殖的环江菜牛的里脊肉进行检测，进一步验证环江菜牛的“高蛋白低脂肪、氨基酸含量丰富”的产品特性。主要检测了蛋白质、脂肪、胆固醇、氨基酸总量和水分指标，检测结果汇总见表2。同时汇总了其他地方的黄牛检测指标进行对比，见表3。</w:t>
      </w:r>
    </w:p>
    <w:p w:rsidR="00DF169E" w:rsidRDefault="00DF169E" w:rsidP="00DF169E">
      <w:pPr>
        <w:ind w:firstLineChars="0" w:firstLine="0"/>
        <w:rPr>
          <w:rFonts w:ascii="仿宋_GB2312" w:hAnsi="宋体"/>
          <w:bCs/>
          <w:szCs w:val="32"/>
          <w:lang w:val="zh-CN"/>
        </w:rPr>
      </w:pPr>
      <w:r>
        <w:rPr>
          <w:noProof/>
        </w:rPr>
        <w:drawing>
          <wp:inline distT="0" distB="0" distL="0" distR="0" wp14:anchorId="6D105B42" wp14:editId="729659A1">
            <wp:extent cx="5486400" cy="2724785"/>
            <wp:effectExtent l="19050" t="19050" r="19050"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2724785"/>
                    </a:xfrm>
                    <a:prstGeom prst="rect">
                      <a:avLst/>
                    </a:prstGeom>
                    <a:ln>
                      <a:solidFill>
                        <a:schemeClr val="tx1"/>
                      </a:solidFill>
                    </a:ln>
                  </pic:spPr>
                </pic:pic>
              </a:graphicData>
            </a:graphic>
          </wp:inline>
        </w:drawing>
      </w:r>
    </w:p>
    <w:p w:rsidR="00DF169E" w:rsidRDefault="00DF169E" w:rsidP="00DF169E">
      <w:pPr>
        <w:ind w:firstLineChars="0" w:firstLine="0"/>
        <w:jc w:val="center"/>
        <w:rPr>
          <w:rFonts w:ascii="仿宋_GB2312" w:hAnsi="宋体"/>
          <w:bCs/>
          <w:szCs w:val="32"/>
          <w:lang w:val="zh-CN"/>
        </w:rPr>
      </w:pPr>
      <w:r>
        <w:rPr>
          <w:rFonts w:ascii="仿宋_GB2312" w:hAnsi="宋体" w:hint="eastAsia"/>
          <w:bCs/>
          <w:szCs w:val="32"/>
          <w:lang w:val="zh-CN"/>
        </w:rPr>
        <w:t>来源：环江菜牛地理标志证明商标审定公告</w:t>
      </w:r>
    </w:p>
    <w:p w:rsidR="002920CA" w:rsidRDefault="00DF169E">
      <w:pPr>
        <w:autoSpaceDE w:val="0"/>
        <w:autoSpaceDN w:val="0"/>
        <w:adjustRightInd w:val="0"/>
        <w:spacing w:line="560" w:lineRule="exact"/>
        <w:ind w:firstLine="640"/>
        <w:jc w:val="center"/>
        <w:rPr>
          <w:rFonts w:ascii="仿宋" w:eastAsia="仿宋" w:hAnsi="仿宋" w:cs="宋体"/>
          <w:color w:val="000000"/>
          <w:kern w:val="0"/>
          <w:szCs w:val="32"/>
        </w:rPr>
      </w:pPr>
      <w:r>
        <w:rPr>
          <w:rFonts w:ascii="仿宋" w:eastAsia="仿宋" w:hAnsi="仿宋" w:cs="宋体" w:hint="eastAsia"/>
          <w:color w:val="000000"/>
          <w:kern w:val="0"/>
          <w:szCs w:val="32"/>
        </w:rPr>
        <w:t>表2  环江菜牛理化指标抽检数据汇总</w:t>
      </w:r>
    </w:p>
    <w:tbl>
      <w:tblPr>
        <w:tblW w:w="5000" w:type="pct"/>
        <w:tblLook w:val="04A0" w:firstRow="1" w:lastRow="0" w:firstColumn="1" w:lastColumn="0" w:noHBand="0" w:noVBand="1"/>
      </w:tblPr>
      <w:tblGrid>
        <w:gridCol w:w="1627"/>
        <w:gridCol w:w="1536"/>
        <w:gridCol w:w="1084"/>
        <w:gridCol w:w="1200"/>
        <w:gridCol w:w="1337"/>
        <w:gridCol w:w="1339"/>
        <w:gridCol w:w="1051"/>
      </w:tblGrid>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抽检企业</w:t>
            </w:r>
          </w:p>
        </w:tc>
        <w:tc>
          <w:tcPr>
            <w:tcW w:w="602" w:type="pct"/>
            <w:tcBorders>
              <w:top w:val="single" w:sz="4" w:space="0" w:color="000000"/>
              <w:left w:val="nil"/>
              <w:bottom w:val="single" w:sz="4" w:space="0" w:color="000000"/>
              <w:right w:val="single" w:sz="4" w:space="0" w:color="000000"/>
            </w:tcBorders>
            <w:noWrap/>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蛋白质</w:t>
            </w:r>
          </w:p>
          <w:p w:rsidR="000C131A" w:rsidRDefault="000C131A">
            <w:pPr>
              <w:widowControl/>
              <w:adjustRightInd w:val="0"/>
              <w:spacing w:line="400" w:lineRule="exact"/>
              <w:ind w:firstLineChars="0" w:firstLine="0"/>
              <w:jc w:val="center"/>
              <w:rPr>
                <w:rFonts w:ascii="仿宋_GB2312" w:hAnsi="宋体" w:cs="宋体"/>
                <w:kern w:val="0"/>
                <w:sz w:val="22"/>
                <w:szCs w:val="26"/>
              </w:rPr>
            </w:pPr>
            <w:r>
              <w:rPr>
                <w:rFonts w:ascii="仿宋_GB2312" w:hAnsi="宋体" w:hint="eastAsia"/>
                <w:kern w:val="0"/>
                <w:sz w:val="22"/>
              </w:rPr>
              <w:t>/</w:t>
            </w:r>
            <w:r>
              <w:rPr>
                <w:rFonts w:ascii="仿宋_GB2312" w:hAnsi="黑体" w:hint="eastAsia"/>
                <w:sz w:val="22"/>
              </w:rPr>
              <w:t>（g/100 g）</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脂肪</w:t>
            </w:r>
          </w:p>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/（g/100 g）</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胆固醇</w:t>
            </w:r>
          </w:p>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/（mg/100 g）</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 xml:space="preserve">谷氨酸+天冬氨酸/（mg/100 </w:t>
            </w:r>
            <w:r>
              <w:rPr>
                <w:rFonts w:ascii="仿宋_GB2312" w:hAnsi="宋体" w:hint="eastAsia"/>
                <w:kern w:val="0"/>
                <w:sz w:val="22"/>
              </w:rPr>
              <w:lastRenderedPageBreak/>
              <w:t>g）</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lastRenderedPageBreak/>
              <w:t>氨基酸总量</w:t>
            </w:r>
          </w:p>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/（mg/100 g）</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水分</w:t>
            </w:r>
          </w:p>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（g/100 g）</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lastRenderedPageBreak/>
              <w:t>企业1</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22.0</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2.7</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43.2</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5.33</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19.7</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74.3</w:t>
            </w:r>
          </w:p>
        </w:tc>
      </w:tr>
      <w:tr w:rsidR="000C131A" w:rsidTr="000C131A">
        <w:trPr>
          <w:trHeight w:val="90"/>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企业2</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20.1</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3.5</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43.7</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4.89</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18.6</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74.2</w:t>
            </w:r>
          </w:p>
        </w:tc>
      </w:tr>
      <w:tr w:rsidR="000C131A" w:rsidTr="000C131A">
        <w:trPr>
          <w:trHeight w:val="405"/>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企业3</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21.2</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2.4</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41.6</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4.90</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18.5</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74.3</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企业4</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21.0</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2.4</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43.2</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4.94</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18.9</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75.3</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企业5</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19.4</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6.1</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43.2</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4.79</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19.2</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73.4</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最大值</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22.0</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6.1</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43.7</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5.33</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19.7</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75.3</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最小值</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19.4</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2.4</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41.6</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4.79</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18.5</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74.2</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平均值</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20.74</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3.42</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42.98</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4.97</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18.98</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74.3</w:t>
            </w:r>
          </w:p>
        </w:tc>
      </w:tr>
      <w:tr w:rsidR="000C131A" w:rsidTr="000C131A">
        <w:trPr>
          <w:trHeight w:val="397"/>
        </w:trPr>
        <w:tc>
          <w:tcPr>
            <w:tcW w:w="926" w:type="pct"/>
            <w:tcBorders>
              <w:top w:val="single" w:sz="4" w:space="0" w:color="000000"/>
              <w:left w:val="single" w:sz="4" w:space="0" w:color="000000"/>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名特优鉴定报告</w:t>
            </w:r>
          </w:p>
        </w:tc>
        <w:tc>
          <w:tcPr>
            <w:tcW w:w="60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19.12</w:t>
            </w:r>
          </w:p>
        </w:tc>
        <w:tc>
          <w:tcPr>
            <w:tcW w:w="630"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3.4（肌内脂肪）</w:t>
            </w:r>
          </w:p>
        </w:tc>
        <w:tc>
          <w:tcPr>
            <w:tcW w:w="693"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29.7</w:t>
            </w:r>
          </w:p>
        </w:tc>
        <w:tc>
          <w:tcPr>
            <w:tcW w:w="768" w:type="pct"/>
            <w:tcBorders>
              <w:top w:val="single" w:sz="4" w:space="0" w:color="000000"/>
              <w:left w:val="nil"/>
              <w:bottom w:val="single" w:sz="4" w:space="0" w:color="000000"/>
              <w:right w:val="single" w:sz="4" w:space="0" w:color="auto"/>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4.94</w:t>
            </w:r>
          </w:p>
        </w:tc>
        <w:tc>
          <w:tcPr>
            <w:tcW w:w="769" w:type="pct"/>
            <w:tcBorders>
              <w:top w:val="single" w:sz="4" w:space="0" w:color="000000"/>
              <w:left w:val="single" w:sz="4" w:space="0" w:color="auto"/>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w:t>
            </w:r>
          </w:p>
        </w:tc>
        <w:tc>
          <w:tcPr>
            <w:tcW w:w="612" w:type="pct"/>
            <w:tcBorders>
              <w:top w:val="single" w:sz="4" w:space="0" w:color="000000"/>
              <w:left w:val="nil"/>
              <w:bottom w:val="single" w:sz="4" w:space="0" w:color="000000"/>
              <w:right w:val="single" w:sz="4" w:space="0" w:color="000000"/>
            </w:tcBorders>
            <w:vAlign w:val="center"/>
          </w:tcPr>
          <w:p w:rsidR="000C131A" w:rsidRDefault="000C131A">
            <w:pPr>
              <w:widowControl/>
              <w:adjustRightInd w:val="0"/>
              <w:spacing w:line="400" w:lineRule="exact"/>
              <w:ind w:firstLineChars="0" w:firstLine="0"/>
              <w:jc w:val="center"/>
              <w:rPr>
                <w:rFonts w:ascii="仿宋_GB2312" w:hAnsi="宋体"/>
                <w:kern w:val="0"/>
                <w:sz w:val="22"/>
              </w:rPr>
            </w:pPr>
            <w:r>
              <w:rPr>
                <w:rFonts w:ascii="仿宋_GB2312" w:hAnsi="宋体" w:hint="eastAsia"/>
                <w:kern w:val="0"/>
                <w:sz w:val="22"/>
              </w:rPr>
              <w:t>/</w:t>
            </w:r>
          </w:p>
        </w:tc>
      </w:tr>
    </w:tbl>
    <w:p w:rsidR="002920CA" w:rsidRDefault="002920CA">
      <w:pPr>
        <w:autoSpaceDE w:val="0"/>
        <w:autoSpaceDN w:val="0"/>
        <w:adjustRightInd w:val="0"/>
        <w:spacing w:line="560" w:lineRule="exact"/>
        <w:ind w:left="640" w:firstLine="640"/>
        <w:jc w:val="left"/>
        <w:rPr>
          <w:rFonts w:ascii="仿宋_GB2312" w:hAnsi="宋体"/>
          <w:bCs/>
          <w:szCs w:val="32"/>
          <w:lang w:val="zh-CN"/>
        </w:rPr>
      </w:pPr>
    </w:p>
    <w:p w:rsidR="002920CA" w:rsidRDefault="002920CA">
      <w:pPr>
        <w:ind w:firstLineChars="0" w:firstLine="0"/>
        <w:rPr>
          <w:rFonts w:ascii="仿宋_GB2312" w:hAnsi="宋体"/>
          <w:bCs/>
          <w:szCs w:val="32"/>
          <w:lang w:val="zh-CN"/>
        </w:rPr>
        <w:sectPr w:rsidR="002920CA">
          <w:headerReference w:type="even" r:id="rId11"/>
          <w:headerReference w:type="default" r:id="rId12"/>
          <w:footerReference w:type="even" r:id="rId13"/>
          <w:footerReference w:type="default" r:id="rId14"/>
          <w:headerReference w:type="first" r:id="rId15"/>
          <w:footerReference w:type="first" r:id="rId16"/>
          <w:pgSz w:w="11906" w:h="16838"/>
          <w:pgMar w:top="1474" w:right="1474" w:bottom="1474" w:left="1474" w:header="851" w:footer="992" w:gutter="0"/>
          <w:cols w:space="425"/>
          <w:docGrid w:type="lines" w:linePitch="312"/>
        </w:sectPr>
      </w:pPr>
    </w:p>
    <w:p w:rsidR="002920CA" w:rsidRDefault="00DF169E">
      <w:pPr>
        <w:autoSpaceDE w:val="0"/>
        <w:autoSpaceDN w:val="0"/>
        <w:adjustRightInd w:val="0"/>
        <w:spacing w:line="560" w:lineRule="exact"/>
        <w:ind w:firstLine="640"/>
        <w:jc w:val="center"/>
        <w:rPr>
          <w:rFonts w:ascii="仿宋" w:eastAsia="仿宋" w:hAnsi="仿宋" w:cs="宋体"/>
          <w:color w:val="000000"/>
          <w:kern w:val="0"/>
          <w:szCs w:val="32"/>
        </w:rPr>
      </w:pPr>
      <w:r>
        <w:rPr>
          <w:rFonts w:ascii="仿宋" w:eastAsia="仿宋" w:hAnsi="仿宋" w:cs="宋体" w:hint="eastAsia"/>
          <w:color w:val="000000"/>
          <w:kern w:val="0"/>
          <w:szCs w:val="32"/>
        </w:rPr>
        <w:lastRenderedPageBreak/>
        <w:t>表3  与其他黄牛相关标准的对比</w:t>
      </w:r>
    </w:p>
    <w:tbl>
      <w:tblPr>
        <w:tblW w:w="15238" w:type="dxa"/>
        <w:tblInd w:w="-104" w:type="dxa"/>
        <w:tblLayout w:type="fixed"/>
        <w:tblLook w:val="04A0" w:firstRow="1" w:lastRow="0" w:firstColumn="1" w:lastColumn="0" w:noHBand="0" w:noVBand="1"/>
      </w:tblPr>
      <w:tblGrid>
        <w:gridCol w:w="3126"/>
        <w:gridCol w:w="1035"/>
        <w:gridCol w:w="1206"/>
        <w:gridCol w:w="1206"/>
        <w:gridCol w:w="1096"/>
        <w:gridCol w:w="1479"/>
        <w:gridCol w:w="1257"/>
        <w:gridCol w:w="1316"/>
        <w:gridCol w:w="1206"/>
        <w:gridCol w:w="1206"/>
        <w:gridCol w:w="1105"/>
      </w:tblGrid>
      <w:tr w:rsidR="002920CA">
        <w:trPr>
          <w:trHeight w:val="1852"/>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440"/>
              <w:jc w:val="center"/>
              <w:rPr>
                <w:rFonts w:ascii="仿宋_GB2312" w:hAnsi="宋体" w:cs="宋体"/>
                <w:color w:val="000000"/>
                <w:kern w:val="0"/>
                <w:sz w:val="22"/>
                <w:szCs w:val="22"/>
              </w:rPr>
            </w:pPr>
            <w:r>
              <w:rPr>
                <w:rFonts w:ascii="仿宋_GB2312" w:hAnsi="宋体" w:cs="宋体" w:hint="eastAsia"/>
                <w:color w:val="000000"/>
                <w:kern w:val="0"/>
                <w:sz w:val="22"/>
                <w:szCs w:val="22"/>
              </w:rPr>
              <w:t>项目</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TCAI 161-2021 地理标志产品 茶陵黄牛</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DB52/T 1236-2017 地理标志产品 南盘江黄牛</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DB22T 1849-2013 地理标志产品 延边黄牛肉</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T/CAI 132-2021 地理标志产品 三江黄牛</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T/GXAS 630-2023《地理标志农产品 南丹黄牛》</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 xml:space="preserve"> DB42/T 928-2024  地理标志产品 恩施黄牛肉</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 xml:space="preserve"> DB15/T 2971—2023  兴安盟牛肉</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 xml:space="preserve"> DB54/T 0133-2017  地理标志产品 类乌齐牦牛肉</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 xml:space="preserve">T/QAS 088—2023 </w:t>
            </w:r>
            <w:proofErr w:type="gramStart"/>
            <w:r>
              <w:rPr>
                <w:rFonts w:ascii="仿宋_GB2312" w:hAnsi="宋体" w:cs="宋体" w:hint="eastAsia"/>
                <w:color w:val="000000"/>
                <w:kern w:val="0"/>
                <w:sz w:val="22"/>
                <w:szCs w:val="22"/>
              </w:rPr>
              <w:t>囊谦红盐牦牛</w:t>
            </w:r>
            <w:proofErr w:type="gramEnd"/>
            <w:r>
              <w:rPr>
                <w:rFonts w:ascii="仿宋_GB2312" w:hAnsi="宋体" w:cs="宋体" w:hint="eastAsia"/>
                <w:color w:val="000000"/>
                <w:kern w:val="0"/>
                <w:sz w:val="22"/>
                <w:szCs w:val="22"/>
              </w:rPr>
              <w:t>肉</w:t>
            </w:r>
          </w:p>
        </w:tc>
        <w:tc>
          <w:tcPr>
            <w:tcW w:w="1105" w:type="dxa"/>
            <w:tcBorders>
              <w:top w:val="single" w:sz="4" w:space="0" w:color="000000"/>
              <w:left w:val="single" w:sz="4" w:space="0" w:color="000000"/>
              <w:bottom w:val="single" w:sz="4" w:space="0" w:color="000000"/>
              <w:right w:val="single" w:sz="4" w:space="0" w:color="000000"/>
            </w:tcBorders>
          </w:tcPr>
          <w:p w:rsidR="002920CA" w:rsidRDefault="00DF169E">
            <w:pPr>
              <w:widowControl/>
              <w:ind w:firstLineChars="0" w:firstLine="0"/>
              <w:jc w:val="center"/>
              <w:rPr>
                <w:rFonts w:ascii="仿宋_GB2312" w:hAnsi="宋体" w:cs="宋体"/>
                <w:b/>
                <w:color w:val="000000"/>
                <w:kern w:val="0"/>
                <w:sz w:val="22"/>
                <w:szCs w:val="22"/>
              </w:rPr>
            </w:pPr>
            <w:r>
              <w:rPr>
                <w:rFonts w:ascii="仿宋_GB2312" w:hAnsi="宋体" w:cs="宋体" w:hint="eastAsia"/>
                <w:b/>
                <w:color w:val="000000"/>
                <w:kern w:val="0"/>
                <w:sz w:val="22"/>
                <w:szCs w:val="22"/>
              </w:rPr>
              <w:t>T/GXAS XXXX 地理标志证明商标 环江菜牛</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水分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74.5</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77</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77</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77</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b/>
                <w:bCs/>
                <w:color w:val="000000"/>
                <w:kern w:val="0"/>
                <w:sz w:val="22"/>
                <w:szCs w:val="22"/>
              </w:rPr>
            </w:pPr>
            <w:r>
              <w:rPr>
                <w:rFonts w:ascii="仿宋_GB2312" w:hAnsi="宋体" w:cs="宋体" w:hint="eastAsia"/>
                <w:b/>
                <w:bCs/>
                <w:color w:val="000000"/>
                <w:kern w:val="0"/>
                <w:sz w:val="22"/>
                <w:szCs w:val="22"/>
              </w:rPr>
              <w:t>77</w:t>
            </w:r>
          </w:p>
        </w:tc>
      </w:tr>
      <w:tr w:rsidR="002920CA">
        <w:trPr>
          <w:trHeight w:val="44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氨基酸总量/（g/100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16</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b/>
                <w:bCs/>
                <w:color w:val="000000"/>
                <w:kern w:val="0"/>
                <w:sz w:val="22"/>
                <w:szCs w:val="22"/>
              </w:rPr>
            </w:pPr>
            <w:r>
              <w:rPr>
                <w:rFonts w:ascii="仿宋_GB2312" w:hAnsi="宋体" w:cs="宋体" w:hint="eastAsia"/>
                <w:b/>
                <w:bCs/>
                <w:color w:val="000000"/>
                <w:kern w:val="0"/>
                <w:sz w:val="22"/>
                <w:szCs w:val="22"/>
              </w:rPr>
              <w:t>18.0</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肌苷酸/（mg/100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190</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谷氨酸（g/100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12.5</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脂肪/（％）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18.5</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6.5</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3</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18.5</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1.4</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3.5</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3.1</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681C0C">
            <w:pPr>
              <w:widowControl/>
              <w:ind w:firstLineChars="0" w:firstLine="0"/>
              <w:jc w:val="center"/>
              <w:rPr>
                <w:rFonts w:ascii="仿宋_GB2312" w:hAnsi="宋体" w:cs="宋体"/>
                <w:b/>
                <w:bCs/>
                <w:color w:val="000000"/>
                <w:kern w:val="0"/>
                <w:sz w:val="22"/>
                <w:szCs w:val="22"/>
              </w:rPr>
            </w:pPr>
            <w:r>
              <w:rPr>
                <w:rFonts w:ascii="仿宋_GB2312" w:hAnsi="宋体" w:cs="宋体" w:hint="eastAsia"/>
                <w:b/>
                <w:bCs/>
                <w:color w:val="000000"/>
                <w:kern w:val="0"/>
                <w:sz w:val="22"/>
                <w:szCs w:val="22"/>
              </w:rPr>
              <w:t>3</w:t>
            </w:r>
            <w:r w:rsidR="00DF169E">
              <w:rPr>
                <w:rFonts w:ascii="仿宋_GB2312" w:hAnsi="宋体" w:cs="宋体" w:hint="eastAsia"/>
                <w:b/>
                <w:bCs/>
                <w:color w:val="000000"/>
                <w:kern w:val="0"/>
                <w:sz w:val="22"/>
                <w:szCs w:val="22"/>
              </w:rPr>
              <w:t>.0</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蛋白质/（g/100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19</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19</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20</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19</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19</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21</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22</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b/>
                <w:bCs/>
                <w:color w:val="000000"/>
                <w:kern w:val="0"/>
                <w:sz w:val="22"/>
                <w:szCs w:val="22"/>
              </w:rPr>
            </w:pPr>
            <w:r>
              <w:rPr>
                <w:rFonts w:ascii="仿宋_GB2312" w:hAnsi="宋体" w:cs="宋体" w:hint="eastAsia"/>
                <w:b/>
                <w:bCs/>
                <w:color w:val="000000"/>
                <w:kern w:val="0"/>
                <w:sz w:val="22"/>
                <w:szCs w:val="22"/>
              </w:rPr>
              <w:t>20</w:t>
            </w:r>
          </w:p>
        </w:tc>
      </w:tr>
      <w:tr w:rsidR="002920CA">
        <w:trPr>
          <w:trHeight w:val="50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热量/（KJ/100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380</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Pr="00681C0C" w:rsidRDefault="00681C0C">
            <w:pPr>
              <w:widowControl/>
              <w:ind w:firstLineChars="0" w:firstLine="0"/>
              <w:jc w:val="center"/>
              <w:rPr>
                <w:rFonts w:ascii="仿宋_GB2312" w:hAnsi="宋体" w:cs="宋体"/>
                <w:bCs/>
                <w:color w:val="000000"/>
                <w:kern w:val="0"/>
                <w:sz w:val="22"/>
                <w:szCs w:val="22"/>
              </w:rPr>
            </w:pPr>
            <w:r w:rsidRPr="00681C0C">
              <w:rPr>
                <w:rFonts w:ascii="仿宋_GB2312" w:hAnsi="宋体" w:cs="宋体" w:hint="eastAsia"/>
                <w:bCs/>
                <w:color w:val="000000"/>
                <w:kern w:val="0"/>
                <w:sz w:val="22"/>
                <w:szCs w:val="22"/>
              </w:rPr>
              <w:t>/</w:t>
            </w:r>
          </w:p>
        </w:tc>
      </w:tr>
      <w:tr w:rsidR="002920CA">
        <w:trPr>
          <w:trHeight w:val="34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胆固醇/（mg/100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62</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681C0C">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45.0</w:t>
            </w:r>
          </w:p>
        </w:tc>
      </w:tr>
      <w:tr w:rsidR="002920CA">
        <w:trPr>
          <w:trHeight w:val="48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挥发性盐基氮/（mg/100</w:t>
            </w:r>
            <w:r>
              <w:rPr>
                <w:rFonts w:ascii="仿宋_GB2312" w:hAnsi="宋体" w:cs="宋体" w:hint="eastAsia"/>
                <w:color w:val="000000"/>
                <w:kern w:val="0"/>
                <w:sz w:val="22"/>
                <w:szCs w:val="22"/>
                <w:vertAlign w:val="superscript"/>
              </w:rPr>
              <w:t xml:space="preserve"> </w:t>
            </w:r>
            <w:r>
              <w:rPr>
                <w:rFonts w:ascii="仿宋_GB2312" w:hAnsi="宋体" w:cs="宋体" w:hint="eastAsia"/>
                <w:color w:val="000000"/>
                <w:kern w:val="0"/>
                <w:sz w:val="22"/>
                <w:szCs w:val="22"/>
              </w:rPr>
              <w:t>g）≤</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15</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15</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15</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14</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15</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r w:rsidR="002920CA">
        <w:trPr>
          <w:trHeight w:val="30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硒/mg/kg</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0.05</w:t>
            </w:r>
            <w:r>
              <w:rPr>
                <w:color w:val="000000"/>
                <w:kern w:val="0"/>
                <w:sz w:val="22"/>
                <w:szCs w:val="22"/>
              </w:rPr>
              <w:t>~</w:t>
            </w:r>
            <w:r>
              <w:rPr>
                <w:rFonts w:ascii="仿宋_GB2312" w:hAnsi="宋体" w:cs="宋体" w:hint="eastAsia"/>
                <w:color w:val="000000"/>
                <w:kern w:val="0"/>
                <w:sz w:val="22"/>
                <w:szCs w:val="22"/>
              </w:rPr>
              <w:t>0.5</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r w:rsidR="002920CA">
        <w:trPr>
          <w:trHeight w:val="42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肌内脂肪/%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6</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2920CA">
            <w:pPr>
              <w:widowControl/>
              <w:ind w:firstLineChars="0" w:firstLine="0"/>
              <w:jc w:val="center"/>
              <w:rPr>
                <w:rFonts w:ascii="仿宋_GB2312" w:hAnsi="宋体" w:cs="宋体"/>
                <w:color w:val="000000"/>
                <w:kern w:val="0"/>
                <w:sz w:val="22"/>
                <w:szCs w:val="22"/>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r w:rsidR="002920CA">
        <w:trPr>
          <w:trHeight w:val="380"/>
        </w:trPr>
        <w:tc>
          <w:tcPr>
            <w:tcW w:w="3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left"/>
              <w:rPr>
                <w:rFonts w:ascii="仿宋_GB2312" w:hAnsi="宋体" w:cs="宋体"/>
                <w:color w:val="000000"/>
                <w:kern w:val="0"/>
                <w:sz w:val="22"/>
                <w:szCs w:val="22"/>
              </w:rPr>
            </w:pPr>
            <w:r>
              <w:rPr>
                <w:rFonts w:ascii="仿宋_GB2312" w:hAnsi="宋体" w:cs="宋体" w:hint="eastAsia"/>
                <w:color w:val="000000"/>
                <w:kern w:val="0"/>
                <w:sz w:val="22"/>
                <w:szCs w:val="22"/>
              </w:rPr>
              <w:t>铅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0.5</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c>
          <w:tcPr>
            <w:tcW w:w="1105" w:type="dxa"/>
            <w:tcBorders>
              <w:top w:val="single" w:sz="4" w:space="0" w:color="000000"/>
              <w:left w:val="single" w:sz="4" w:space="0" w:color="000000"/>
              <w:bottom w:val="single" w:sz="4" w:space="0" w:color="000000"/>
              <w:right w:val="single" w:sz="4" w:space="0" w:color="000000"/>
            </w:tcBorders>
            <w:vAlign w:val="center"/>
          </w:tcPr>
          <w:p w:rsidR="002920CA" w:rsidRDefault="00DF169E">
            <w:pPr>
              <w:widowControl/>
              <w:ind w:firstLineChars="0" w:firstLine="0"/>
              <w:jc w:val="center"/>
              <w:rPr>
                <w:rFonts w:ascii="仿宋_GB2312" w:hAnsi="宋体" w:cs="宋体"/>
                <w:color w:val="000000"/>
                <w:kern w:val="0"/>
                <w:sz w:val="22"/>
                <w:szCs w:val="22"/>
              </w:rPr>
            </w:pPr>
            <w:r>
              <w:rPr>
                <w:rFonts w:ascii="仿宋_GB2312" w:hAnsi="宋体" w:cs="宋体" w:hint="eastAsia"/>
                <w:color w:val="000000"/>
                <w:kern w:val="0"/>
                <w:sz w:val="22"/>
                <w:szCs w:val="22"/>
              </w:rPr>
              <w:t>/</w:t>
            </w:r>
          </w:p>
        </w:tc>
      </w:tr>
    </w:tbl>
    <w:p w:rsidR="002920CA" w:rsidRDefault="002920CA">
      <w:pPr>
        <w:autoSpaceDE w:val="0"/>
        <w:autoSpaceDN w:val="0"/>
        <w:adjustRightInd w:val="0"/>
        <w:spacing w:line="560" w:lineRule="exact"/>
        <w:ind w:firstLineChars="0" w:firstLine="0"/>
        <w:jc w:val="left"/>
        <w:rPr>
          <w:rFonts w:ascii="仿宋_GB2312" w:hAnsi="宋体"/>
          <w:b/>
          <w:szCs w:val="32"/>
          <w:lang w:val="zh-CN"/>
        </w:rPr>
      </w:pPr>
    </w:p>
    <w:p w:rsidR="002920CA" w:rsidRDefault="002920CA">
      <w:pPr>
        <w:autoSpaceDE w:val="0"/>
        <w:autoSpaceDN w:val="0"/>
        <w:adjustRightInd w:val="0"/>
        <w:spacing w:line="560" w:lineRule="exact"/>
        <w:ind w:firstLineChars="0" w:firstLine="0"/>
        <w:jc w:val="left"/>
        <w:rPr>
          <w:rFonts w:ascii="仿宋_GB2312" w:hAnsi="宋体"/>
          <w:b/>
          <w:szCs w:val="32"/>
          <w:lang w:val="zh-CN"/>
        </w:rPr>
        <w:sectPr w:rsidR="002920CA">
          <w:pgSz w:w="16838" w:h="11906" w:orient="landscape"/>
          <w:pgMar w:top="1474" w:right="1474" w:bottom="1474" w:left="1474" w:header="851" w:footer="992" w:gutter="0"/>
          <w:cols w:space="425"/>
          <w:docGrid w:type="linesAndChars" w:linePitch="312"/>
        </w:sectPr>
      </w:pPr>
    </w:p>
    <w:p w:rsidR="002920CA" w:rsidRDefault="00DF169E">
      <w:pPr>
        <w:autoSpaceDE w:val="0"/>
        <w:autoSpaceDN w:val="0"/>
        <w:adjustRightInd w:val="0"/>
        <w:spacing w:line="560" w:lineRule="exact"/>
        <w:ind w:firstLine="640"/>
        <w:rPr>
          <w:rFonts w:ascii="仿宋_GB2312" w:hAnsi="宋体"/>
          <w:bCs/>
          <w:szCs w:val="32"/>
          <w:lang w:val="zh-CN"/>
        </w:rPr>
      </w:pPr>
      <w:r>
        <w:rPr>
          <w:rFonts w:ascii="仿宋_GB2312" w:hAnsi="宋体" w:hint="eastAsia"/>
          <w:bCs/>
          <w:szCs w:val="32"/>
          <w:lang w:val="zh-CN"/>
        </w:rPr>
        <w:lastRenderedPageBreak/>
        <w:t>根据抽样检测结果，对地理标志证明商标  环江菜牛的理化指标分析如下：</w:t>
      </w:r>
    </w:p>
    <w:p w:rsidR="002920CA" w:rsidRDefault="00DF169E">
      <w:pPr>
        <w:pStyle w:val="aff4"/>
        <w:numPr>
          <w:ilvl w:val="0"/>
          <w:numId w:val="18"/>
        </w:numPr>
        <w:autoSpaceDE w:val="0"/>
        <w:autoSpaceDN w:val="0"/>
        <w:adjustRightInd w:val="0"/>
        <w:spacing w:line="560" w:lineRule="exact"/>
        <w:ind w:firstLineChars="0"/>
        <w:jc w:val="left"/>
        <w:rPr>
          <w:szCs w:val="18"/>
        </w:rPr>
      </w:pPr>
      <w:r>
        <w:rPr>
          <w:rFonts w:hint="eastAsia"/>
          <w:szCs w:val="18"/>
        </w:rPr>
        <w:t>蛋白质</w:t>
      </w:r>
    </w:p>
    <w:p w:rsidR="002920CA" w:rsidRDefault="00DF169E">
      <w:pPr>
        <w:autoSpaceDE w:val="0"/>
        <w:autoSpaceDN w:val="0"/>
        <w:adjustRightInd w:val="0"/>
        <w:spacing w:line="560" w:lineRule="exact"/>
        <w:ind w:firstLine="640"/>
        <w:rPr>
          <w:szCs w:val="18"/>
        </w:rPr>
      </w:pPr>
      <w:r>
        <w:rPr>
          <w:rFonts w:hint="eastAsia"/>
          <w:szCs w:val="18"/>
        </w:rPr>
        <w:t>蛋白质是环江菜牛肌肉发育的核心，直接决定牛肉的“营养价值基础”。蛋白质含量高，其“肉用价值”更高，肉质更紧实有弹性，咀嚼时能感受到明显的“肉感”，且消化吸收后能为人体提供更充足的氨基酸，适合追求高蛋白饮食的人群（如健身、减脂者）。蛋白质含量低则</w:t>
      </w:r>
      <w:proofErr w:type="gramStart"/>
      <w:r>
        <w:rPr>
          <w:rFonts w:hint="eastAsia"/>
          <w:szCs w:val="18"/>
        </w:rPr>
        <w:t>肉质易</w:t>
      </w:r>
      <w:proofErr w:type="gramEnd"/>
      <w:r>
        <w:rPr>
          <w:rFonts w:hint="eastAsia"/>
          <w:szCs w:val="18"/>
        </w:rPr>
        <w:t>松散，口感偏“柴”或“软塌”，营养价值打折扣，整体品质下降。</w:t>
      </w:r>
    </w:p>
    <w:p w:rsidR="002920CA" w:rsidRDefault="00DF169E">
      <w:pPr>
        <w:autoSpaceDE w:val="0"/>
        <w:autoSpaceDN w:val="0"/>
        <w:adjustRightInd w:val="0"/>
        <w:spacing w:line="560" w:lineRule="exact"/>
        <w:ind w:firstLine="640"/>
        <w:jc w:val="left"/>
        <w:rPr>
          <w:szCs w:val="18"/>
        </w:rPr>
      </w:pPr>
      <w:r>
        <w:rPr>
          <w:rFonts w:hint="eastAsia"/>
          <w:szCs w:val="18"/>
        </w:rPr>
        <w:t>由表</w:t>
      </w:r>
      <w:r>
        <w:rPr>
          <w:rFonts w:hint="eastAsia"/>
          <w:szCs w:val="18"/>
        </w:rPr>
        <w:t>2</w:t>
      </w:r>
      <w:r>
        <w:rPr>
          <w:rFonts w:hint="eastAsia"/>
          <w:szCs w:val="18"/>
        </w:rPr>
        <w:t>可知，抽检数据中地理标志证明商标</w:t>
      </w:r>
      <w:r>
        <w:rPr>
          <w:rFonts w:hint="eastAsia"/>
          <w:szCs w:val="18"/>
        </w:rPr>
        <w:t xml:space="preserve">  </w:t>
      </w:r>
      <w:r>
        <w:rPr>
          <w:rFonts w:hint="eastAsia"/>
          <w:szCs w:val="18"/>
        </w:rPr>
        <w:t>环江菜牛的蛋白质含量最大值为</w:t>
      </w:r>
      <w:r>
        <w:rPr>
          <w:rFonts w:hint="eastAsia"/>
          <w:szCs w:val="18"/>
        </w:rPr>
        <w:t>22.0%</w:t>
      </w:r>
      <w:r>
        <w:rPr>
          <w:rFonts w:hint="eastAsia"/>
          <w:szCs w:val="18"/>
        </w:rPr>
        <w:t>，最小值为</w:t>
      </w:r>
      <w:r>
        <w:rPr>
          <w:rFonts w:hint="eastAsia"/>
          <w:szCs w:val="18"/>
        </w:rPr>
        <w:t>19.4%</w:t>
      </w:r>
      <w:r>
        <w:rPr>
          <w:rFonts w:hint="eastAsia"/>
          <w:szCs w:val="18"/>
        </w:rPr>
        <w:t>，平均值为</w:t>
      </w:r>
      <w:r>
        <w:rPr>
          <w:rFonts w:hint="eastAsia"/>
          <w:szCs w:val="18"/>
        </w:rPr>
        <w:t>20.74%</w:t>
      </w:r>
      <w:r>
        <w:rPr>
          <w:rFonts w:hint="eastAsia"/>
          <w:szCs w:val="18"/>
        </w:rPr>
        <w:t>，各含量阶段占比如下：</w:t>
      </w:r>
    </w:p>
    <w:p w:rsidR="002920CA" w:rsidRDefault="00DF169E">
      <w:pPr>
        <w:autoSpaceDE w:val="0"/>
        <w:autoSpaceDN w:val="0"/>
        <w:adjustRightInd w:val="0"/>
        <w:spacing w:line="560" w:lineRule="exact"/>
        <w:ind w:firstLine="640"/>
        <w:jc w:val="left"/>
        <w:rPr>
          <w:szCs w:val="18"/>
        </w:rPr>
      </w:pPr>
      <w:r>
        <w:rPr>
          <w:rFonts w:hint="eastAsia"/>
          <w:szCs w:val="18"/>
        </w:rPr>
        <w:t>——蛋白质含量</w:t>
      </w:r>
      <w:bookmarkStart w:id="13" w:name="OLE_LINK8"/>
      <w:bookmarkStart w:id="14" w:name="OLE_LINK9"/>
      <w:r>
        <w:t>≥</w:t>
      </w:r>
      <w:bookmarkEnd w:id="13"/>
      <w:bookmarkEnd w:id="14"/>
      <w:r>
        <w:rPr>
          <w:rFonts w:hint="eastAsia"/>
          <w:szCs w:val="18"/>
        </w:rPr>
        <w:t>19%</w:t>
      </w:r>
      <w:r>
        <w:rPr>
          <w:rFonts w:hint="eastAsia"/>
          <w:szCs w:val="18"/>
        </w:rPr>
        <w:t>的占比为</w:t>
      </w:r>
      <w:r>
        <w:rPr>
          <w:rFonts w:hint="eastAsia"/>
          <w:szCs w:val="18"/>
        </w:rPr>
        <w:t>100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——蛋白质含量</w:t>
      </w:r>
      <w:r>
        <w:t>≥</w:t>
      </w:r>
      <w:r>
        <w:rPr>
          <w:rFonts w:hint="eastAsia"/>
          <w:szCs w:val="18"/>
        </w:rPr>
        <w:t>20%</w:t>
      </w:r>
      <w:r>
        <w:rPr>
          <w:rFonts w:hint="eastAsia"/>
          <w:szCs w:val="18"/>
        </w:rPr>
        <w:t>的占比为</w:t>
      </w:r>
      <w:r>
        <w:rPr>
          <w:rFonts w:hint="eastAsia"/>
          <w:szCs w:val="18"/>
        </w:rPr>
        <w:t>80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——蛋白质含量</w:t>
      </w:r>
      <w:r>
        <w:t>≥</w:t>
      </w:r>
      <w:r>
        <w:rPr>
          <w:rFonts w:hint="eastAsia"/>
          <w:szCs w:val="18"/>
        </w:rPr>
        <w:t>21%</w:t>
      </w:r>
      <w:r>
        <w:rPr>
          <w:rFonts w:hint="eastAsia"/>
          <w:szCs w:val="18"/>
        </w:rPr>
        <w:t>的占比为</w:t>
      </w:r>
      <w:r>
        <w:rPr>
          <w:rFonts w:hint="eastAsia"/>
          <w:szCs w:val="18"/>
        </w:rPr>
        <w:t>60</w:t>
      </w:r>
      <w:r>
        <w:rPr>
          <w:rFonts w:hint="eastAsia"/>
          <w:szCs w:val="18"/>
        </w:rPr>
        <w:t>％。</w:t>
      </w:r>
    </w:p>
    <w:p w:rsidR="002920CA" w:rsidRDefault="00DF169E">
      <w:pPr>
        <w:autoSpaceDE w:val="0"/>
        <w:autoSpaceDN w:val="0"/>
        <w:adjustRightInd w:val="0"/>
        <w:spacing w:line="560" w:lineRule="exact"/>
        <w:ind w:firstLine="640"/>
        <w:rPr>
          <w:szCs w:val="18"/>
        </w:rPr>
      </w:pPr>
      <w:r>
        <w:rPr>
          <w:rFonts w:hint="eastAsia"/>
          <w:szCs w:val="18"/>
        </w:rPr>
        <w:t>抽检数据的</w:t>
      </w:r>
      <w:r>
        <w:rPr>
          <w:rFonts w:hint="eastAsia"/>
          <w:szCs w:val="18"/>
        </w:rPr>
        <w:t>5</w:t>
      </w:r>
      <w:r>
        <w:rPr>
          <w:rFonts w:hint="eastAsia"/>
          <w:szCs w:val="18"/>
        </w:rPr>
        <w:t>家企业环江菜牛蛋白质含量平均值为</w:t>
      </w:r>
      <w:r>
        <w:rPr>
          <w:rFonts w:hint="eastAsia"/>
          <w:szCs w:val="18"/>
        </w:rPr>
        <w:t>20.74</w:t>
      </w:r>
      <w:r w:rsidR="000C131A">
        <w:rPr>
          <w:rFonts w:hint="eastAsia"/>
          <w:szCs w:val="18"/>
        </w:rPr>
        <w:t xml:space="preserve"> </w:t>
      </w:r>
      <w:r>
        <w:rPr>
          <w:rFonts w:hint="eastAsia"/>
          <w:szCs w:val="18"/>
        </w:rPr>
        <w:t>g/100g</w:t>
      </w:r>
      <w:r>
        <w:rPr>
          <w:rFonts w:hint="eastAsia"/>
          <w:szCs w:val="18"/>
        </w:rPr>
        <w:t>，最小值为</w:t>
      </w:r>
      <w:r>
        <w:rPr>
          <w:rFonts w:hint="eastAsia"/>
          <w:szCs w:val="18"/>
        </w:rPr>
        <w:t>19.4g/100g</w:t>
      </w:r>
      <w:r>
        <w:rPr>
          <w:rFonts w:hint="eastAsia"/>
          <w:szCs w:val="18"/>
        </w:rPr>
        <w:t>，整体含量处于较高水平，定≥</w:t>
      </w:r>
      <w:r>
        <w:rPr>
          <w:rFonts w:hint="eastAsia"/>
          <w:szCs w:val="18"/>
        </w:rPr>
        <w:t>20.0</w:t>
      </w:r>
      <w:r>
        <w:rPr>
          <w:rFonts w:hint="eastAsia"/>
          <w:szCs w:val="18"/>
        </w:rPr>
        <w:t>既贴合实际检测结果，又对产品品质提出合理门槛，剔除个别略低值的同时保留核心品质特征。由表</w:t>
      </w:r>
      <w:r>
        <w:rPr>
          <w:rFonts w:hint="eastAsia"/>
          <w:szCs w:val="18"/>
        </w:rPr>
        <w:t>3</w:t>
      </w:r>
      <w:r>
        <w:rPr>
          <w:rFonts w:hint="eastAsia"/>
          <w:szCs w:val="18"/>
        </w:rPr>
        <w:t>可知，国内同类地理标志黄牛产品蛋白质要求多为≥</w:t>
      </w:r>
      <w:r>
        <w:rPr>
          <w:rFonts w:hint="eastAsia"/>
          <w:szCs w:val="18"/>
        </w:rPr>
        <w:t>19.0g/100g</w:t>
      </w:r>
      <w:r>
        <w:rPr>
          <w:rFonts w:hint="eastAsia"/>
          <w:szCs w:val="18"/>
        </w:rPr>
        <w:t>（如茶陵黄牛、南盘江黄牛），延边黄牛肉为≥</w:t>
      </w:r>
      <w:r>
        <w:rPr>
          <w:rFonts w:hint="eastAsia"/>
          <w:szCs w:val="18"/>
        </w:rPr>
        <w:t>20.0 g/100g</w:t>
      </w:r>
      <w:r>
        <w:rPr>
          <w:rFonts w:hint="eastAsia"/>
          <w:szCs w:val="18"/>
        </w:rPr>
        <w:t>，环江菜牛</w:t>
      </w:r>
      <w:r w:rsidR="00243EA6">
        <w:rPr>
          <w:rFonts w:hint="eastAsia"/>
          <w:szCs w:val="18"/>
        </w:rPr>
        <w:t>拟</w:t>
      </w:r>
      <w:r>
        <w:rPr>
          <w:rFonts w:hint="eastAsia"/>
          <w:szCs w:val="18"/>
        </w:rPr>
        <w:t>定≥</w:t>
      </w:r>
      <w:r>
        <w:rPr>
          <w:rFonts w:hint="eastAsia"/>
          <w:szCs w:val="18"/>
        </w:rPr>
        <w:t>20.0 g/100g</w:t>
      </w:r>
      <w:r>
        <w:rPr>
          <w:rFonts w:hint="eastAsia"/>
          <w:szCs w:val="18"/>
        </w:rPr>
        <w:t>与优质黄牛标准持平，凸显其高蛋白优势。且在品质特性层面，</w:t>
      </w:r>
      <w:r w:rsidR="001B2E07" w:rsidRPr="001B2E07">
        <w:rPr>
          <w:rFonts w:hint="eastAsia"/>
          <w:szCs w:val="18"/>
        </w:rPr>
        <w:t>根据</w:t>
      </w:r>
      <w:r w:rsidR="000C131A" w:rsidRPr="000C131A">
        <w:rPr>
          <w:rFonts w:hint="eastAsia"/>
          <w:szCs w:val="18"/>
        </w:rPr>
        <w:t>GB 28050</w:t>
      </w:r>
      <w:r w:rsidR="000C131A" w:rsidRPr="000C131A">
        <w:rPr>
          <w:rFonts w:hint="eastAsia"/>
          <w:szCs w:val="18"/>
        </w:rPr>
        <w:t>《食品安全国家标准</w:t>
      </w:r>
      <w:r w:rsidR="000C131A" w:rsidRPr="000C131A">
        <w:rPr>
          <w:rFonts w:hint="eastAsia"/>
          <w:szCs w:val="18"/>
        </w:rPr>
        <w:t xml:space="preserve"> </w:t>
      </w:r>
      <w:r w:rsidR="000C131A" w:rsidRPr="000C131A">
        <w:rPr>
          <w:rFonts w:hint="eastAsia"/>
          <w:szCs w:val="18"/>
        </w:rPr>
        <w:t>预包装食品营养标签通则》</w:t>
      </w:r>
      <w:r w:rsidR="000C131A">
        <w:rPr>
          <w:rFonts w:hint="eastAsia"/>
          <w:szCs w:val="18"/>
        </w:rPr>
        <w:t>规定</w:t>
      </w:r>
      <w:r w:rsidR="001B2E07" w:rsidRPr="001B2E07">
        <w:rPr>
          <w:rFonts w:hint="eastAsia"/>
          <w:szCs w:val="18"/>
        </w:rPr>
        <w:t>，</w:t>
      </w:r>
      <w:proofErr w:type="gramStart"/>
      <w:r w:rsidR="001B2E07" w:rsidRPr="001B2E07">
        <w:rPr>
          <w:rFonts w:hint="eastAsia"/>
          <w:szCs w:val="18"/>
        </w:rPr>
        <w:t>若食物</w:t>
      </w:r>
      <w:proofErr w:type="gramEnd"/>
      <w:r w:rsidR="001B2E07" w:rsidRPr="001B2E07">
        <w:rPr>
          <w:rFonts w:hint="eastAsia"/>
          <w:szCs w:val="18"/>
        </w:rPr>
        <w:t>中蛋白质含量</w:t>
      </w:r>
      <w:r w:rsidR="000C131A">
        <w:t>≥</w:t>
      </w:r>
      <w:r w:rsidR="000C131A">
        <w:rPr>
          <w:rFonts w:hint="eastAsia"/>
          <w:szCs w:val="18"/>
        </w:rPr>
        <w:t>12 g/100g</w:t>
      </w:r>
      <w:r w:rsidR="001B2E07" w:rsidRPr="001B2E07">
        <w:rPr>
          <w:rFonts w:hint="eastAsia"/>
          <w:szCs w:val="18"/>
        </w:rPr>
        <w:t>，可</w:t>
      </w:r>
      <w:r w:rsidR="000C131A">
        <w:rPr>
          <w:rFonts w:hint="eastAsia"/>
          <w:szCs w:val="18"/>
        </w:rPr>
        <w:t>声称为</w:t>
      </w:r>
      <w:r w:rsidR="001B2E07" w:rsidRPr="001B2E07">
        <w:rPr>
          <w:rFonts w:hint="eastAsia"/>
          <w:szCs w:val="18"/>
        </w:rPr>
        <w:t>高蛋白食物。</w:t>
      </w:r>
      <w:r>
        <w:rPr>
          <w:rFonts w:hint="eastAsia"/>
          <w:szCs w:val="18"/>
        </w:rPr>
        <w:t>蛋</w:t>
      </w:r>
      <w:r>
        <w:rPr>
          <w:rFonts w:hint="eastAsia"/>
          <w:szCs w:val="18"/>
        </w:rPr>
        <w:lastRenderedPageBreak/>
        <w:t>白质是环江菜牛肌肉紧实、肉用价值高的核心指标，</w:t>
      </w:r>
      <w:r w:rsidR="001B2E07">
        <w:rPr>
          <w:rFonts w:hint="eastAsia"/>
          <w:szCs w:val="18"/>
        </w:rPr>
        <w:t>≥</w:t>
      </w:r>
      <w:r w:rsidR="001B2E07">
        <w:rPr>
          <w:rFonts w:hint="eastAsia"/>
          <w:szCs w:val="18"/>
        </w:rPr>
        <w:t>20.0 g/100g</w:t>
      </w:r>
      <w:r w:rsidR="001B2E07">
        <w:rPr>
          <w:rFonts w:hint="eastAsia"/>
          <w:szCs w:val="18"/>
        </w:rPr>
        <w:t>的</w:t>
      </w:r>
      <w:r>
        <w:rPr>
          <w:rFonts w:hint="eastAsia"/>
          <w:szCs w:val="18"/>
        </w:rPr>
        <w:t>限值能保障产品“肉质紧实有弹性、营养价值高”的核心特征，符合其全国名特优新农产品的定位。</w:t>
      </w:r>
    </w:p>
    <w:p w:rsidR="002920CA" w:rsidRDefault="00DF169E">
      <w:pPr>
        <w:pStyle w:val="aff4"/>
        <w:numPr>
          <w:ilvl w:val="0"/>
          <w:numId w:val="18"/>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t>脂肪</w:t>
      </w:r>
    </w:p>
    <w:p w:rsidR="002920CA" w:rsidRDefault="00DF169E">
      <w:pPr>
        <w:autoSpaceDE w:val="0"/>
        <w:autoSpaceDN w:val="0"/>
        <w:adjustRightInd w:val="0"/>
        <w:spacing w:line="560" w:lineRule="exact"/>
        <w:ind w:firstLine="640"/>
        <w:rPr>
          <w:rFonts w:ascii="仿宋_GB2312" w:hAnsi="宋体"/>
          <w:bCs/>
          <w:szCs w:val="32"/>
          <w:lang w:val="zh-CN"/>
        </w:rPr>
      </w:pPr>
      <w:r>
        <w:rPr>
          <w:rFonts w:ascii="仿宋_GB2312" w:hAnsi="宋体" w:hint="eastAsia"/>
          <w:bCs/>
          <w:szCs w:val="32"/>
          <w:lang w:val="zh-CN"/>
        </w:rPr>
        <w:t>脂肪是牛肉“风味和口感的载体”，决定其鲜嫩度和香气。脂肪含量适中（且分布均匀，如雪花纹）的牛肉入口鲜嫩多汁，加热后能释放出浓郁的肉香，避免干柴，是优质牛肉的重要标志，环江菜牛若脂肪分布合理，能凸显其独特的风味优势。而含量过高则牛肉油腻感强，食用时易产生“腻味”，且热量偏高，不符合健康饮食趋势；含量过低则肉质干硬，口感粗糙，风味寡淡。</w:t>
      </w:r>
    </w:p>
    <w:p w:rsidR="002920CA" w:rsidRDefault="00DF169E">
      <w:pPr>
        <w:autoSpaceDE w:val="0"/>
        <w:autoSpaceDN w:val="0"/>
        <w:adjustRightInd w:val="0"/>
        <w:spacing w:line="560" w:lineRule="exact"/>
        <w:ind w:firstLine="640"/>
        <w:rPr>
          <w:rFonts w:ascii="仿宋_GB2312" w:hAnsi="宋体"/>
          <w:bCs/>
          <w:szCs w:val="32"/>
          <w:lang w:val="zh-CN"/>
        </w:rPr>
      </w:pPr>
      <w:r>
        <w:rPr>
          <w:rFonts w:hint="eastAsia"/>
          <w:szCs w:val="18"/>
        </w:rPr>
        <w:t>由表</w:t>
      </w:r>
      <w:r>
        <w:rPr>
          <w:rFonts w:hint="eastAsia"/>
          <w:szCs w:val="18"/>
        </w:rPr>
        <w:t>2</w:t>
      </w:r>
      <w:r>
        <w:rPr>
          <w:rFonts w:hint="eastAsia"/>
          <w:szCs w:val="18"/>
        </w:rPr>
        <w:t>可知，抽检数据中地理标志证明商标</w:t>
      </w:r>
      <w:r>
        <w:rPr>
          <w:rFonts w:hint="eastAsia"/>
          <w:szCs w:val="18"/>
        </w:rPr>
        <w:t xml:space="preserve">  </w:t>
      </w:r>
      <w:r>
        <w:rPr>
          <w:rFonts w:hint="eastAsia"/>
          <w:szCs w:val="18"/>
        </w:rPr>
        <w:t>环江菜牛的</w:t>
      </w:r>
      <w:r>
        <w:rPr>
          <w:rFonts w:ascii="仿宋_GB2312" w:hAnsi="宋体" w:hint="eastAsia"/>
          <w:bCs/>
          <w:szCs w:val="32"/>
          <w:lang w:val="zh-CN"/>
        </w:rPr>
        <w:t>脂肪</w:t>
      </w:r>
      <w:r>
        <w:rPr>
          <w:rFonts w:hint="eastAsia"/>
          <w:szCs w:val="18"/>
        </w:rPr>
        <w:t>含量最大值为</w:t>
      </w:r>
      <w:r>
        <w:rPr>
          <w:rFonts w:hint="eastAsia"/>
          <w:szCs w:val="18"/>
        </w:rPr>
        <w:t>6.1 g/100g</w:t>
      </w:r>
      <w:r>
        <w:rPr>
          <w:rFonts w:hint="eastAsia"/>
          <w:szCs w:val="18"/>
        </w:rPr>
        <w:t>，最小值为</w:t>
      </w:r>
      <w:r>
        <w:rPr>
          <w:rFonts w:hint="eastAsia"/>
          <w:szCs w:val="18"/>
        </w:rPr>
        <w:t>2.4 g/100g</w:t>
      </w:r>
      <w:r>
        <w:rPr>
          <w:rFonts w:hint="eastAsia"/>
          <w:szCs w:val="18"/>
        </w:rPr>
        <w:t>，平均值为</w:t>
      </w:r>
      <w:r>
        <w:rPr>
          <w:rFonts w:hint="eastAsia"/>
          <w:szCs w:val="18"/>
        </w:rPr>
        <w:t>3.42 g/100g</w:t>
      </w:r>
      <w:r>
        <w:rPr>
          <w:rFonts w:hint="eastAsia"/>
          <w:szCs w:val="18"/>
        </w:rPr>
        <w:t>，各含量阶段占比如下：</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脂肪</w:t>
      </w:r>
      <w:r>
        <w:rPr>
          <w:rFonts w:hint="eastAsia"/>
          <w:szCs w:val="18"/>
        </w:rPr>
        <w:t>含量≤</w:t>
      </w:r>
      <w:r>
        <w:rPr>
          <w:rFonts w:hint="eastAsia"/>
          <w:szCs w:val="18"/>
        </w:rPr>
        <w:t>6.5 g/100g</w:t>
      </w:r>
      <w:r>
        <w:rPr>
          <w:rFonts w:hint="eastAsia"/>
          <w:szCs w:val="18"/>
        </w:rPr>
        <w:t>的占比为</w:t>
      </w:r>
      <w:r>
        <w:rPr>
          <w:rFonts w:hint="eastAsia"/>
          <w:szCs w:val="18"/>
        </w:rPr>
        <w:t>100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脂肪</w:t>
      </w:r>
      <w:r>
        <w:rPr>
          <w:rFonts w:hint="eastAsia"/>
          <w:szCs w:val="18"/>
        </w:rPr>
        <w:t>含量≤</w:t>
      </w:r>
      <w:r>
        <w:rPr>
          <w:rFonts w:hint="eastAsia"/>
          <w:szCs w:val="18"/>
        </w:rPr>
        <w:t>4.0 g/100g</w:t>
      </w:r>
      <w:r>
        <w:rPr>
          <w:rFonts w:hint="eastAsia"/>
          <w:szCs w:val="18"/>
        </w:rPr>
        <w:t>的占比为</w:t>
      </w:r>
      <w:r>
        <w:rPr>
          <w:rFonts w:hint="eastAsia"/>
          <w:szCs w:val="18"/>
        </w:rPr>
        <w:t>80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脂肪</w:t>
      </w:r>
      <w:r>
        <w:rPr>
          <w:rFonts w:hint="eastAsia"/>
          <w:szCs w:val="18"/>
        </w:rPr>
        <w:t>含量≤</w:t>
      </w:r>
      <w:r>
        <w:rPr>
          <w:rFonts w:hint="eastAsia"/>
          <w:szCs w:val="18"/>
        </w:rPr>
        <w:t>3.0 g/100g</w:t>
      </w:r>
      <w:r>
        <w:rPr>
          <w:rFonts w:hint="eastAsia"/>
          <w:szCs w:val="18"/>
        </w:rPr>
        <w:t>的占比为</w:t>
      </w:r>
      <w:r>
        <w:rPr>
          <w:rFonts w:hint="eastAsia"/>
          <w:szCs w:val="18"/>
        </w:rPr>
        <w:t>60</w:t>
      </w:r>
      <w:r>
        <w:rPr>
          <w:rFonts w:hint="eastAsia"/>
          <w:szCs w:val="18"/>
        </w:rPr>
        <w:t>％。</w:t>
      </w:r>
    </w:p>
    <w:p w:rsidR="002920CA" w:rsidRDefault="00DF169E">
      <w:pPr>
        <w:autoSpaceDE w:val="0"/>
        <w:autoSpaceDN w:val="0"/>
        <w:adjustRightInd w:val="0"/>
        <w:spacing w:line="560" w:lineRule="exact"/>
        <w:ind w:firstLine="640"/>
        <w:rPr>
          <w:szCs w:val="18"/>
        </w:rPr>
      </w:pPr>
      <w:r>
        <w:rPr>
          <w:rFonts w:hint="eastAsia"/>
          <w:szCs w:val="18"/>
        </w:rPr>
        <w:t>5</w:t>
      </w:r>
      <w:r>
        <w:rPr>
          <w:rFonts w:hint="eastAsia"/>
          <w:szCs w:val="18"/>
        </w:rPr>
        <w:t>家企业脂肪含量最大值为</w:t>
      </w:r>
      <w:r>
        <w:rPr>
          <w:rFonts w:hint="eastAsia"/>
          <w:szCs w:val="18"/>
        </w:rPr>
        <w:t>6.1g/100g</w:t>
      </w:r>
      <w:r>
        <w:rPr>
          <w:rFonts w:hint="eastAsia"/>
          <w:szCs w:val="18"/>
        </w:rPr>
        <w:t>，平均值为</w:t>
      </w:r>
      <w:r>
        <w:rPr>
          <w:rFonts w:hint="eastAsia"/>
          <w:szCs w:val="18"/>
        </w:rPr>
        <w:t>3.42g/100g</w:t>
      </w:r>
      <w:r>
        <w:rPr>
          <w:rFonts w:hint="eastAsia"/>
          <w:szCs w:val="18"/>
        </w:rPr>
        <w:t>，结合检测结果，</w:t>
      </w:r>
      <w:r w:rsidR="000C131A">
        <w:rPr>
          <w:rFonts w:hint="eastAsia"/>
          <w:szCs w:val="18"/>
        </w:rPr>
        <w:t>根据</w:t>
      </w:r>
      <w:r w:rsidR="000C131A" w:rsidRPr="000C131A">
        <w:rPr>
          <w:rFonts w:hint="eastAsia"/>
          <w:szCs w:val="18"/>
        </w:rPr>
        <w:t>GB 28050</w:t>
      </w:r>
      <w:r w:rsidR="000C131A" w:rsidRPr="000C131A">
        <w:rPr>
          <w:rFonts w:hint="eastAsia"/>
          <w:szCs w:val="18"/>
        </w:rPr>
        <w:t>《食品安全国家标准</w:t>
      </w:r>
      <w:r w:rsidR="000C131A" w:rsidRPr="000C131A">
        <w:rPr>
          <w:rFonts w:hint="eastAsia"/>
          <w:szCs w:val="18"/>
        </w:rPr>
        <w:t xml:space="preserve"> </w:t>
      </w:r>
      <w:r w:rsidR="000C131A" w:rsidRPr="000C131A">
        <w:rPr>
          <w:rFonts w:hint="eastAsia"/>
          <w:szCs w:val="18"/>
        </w:rPr>
        <w:t>预包装食品营养标签通则》</w:t>
      </w:r>
      <w:r w:rsidR="000C131A">
        <w:rPr>
          <w:rFonts w:hint="eastAsia"/>
          <w:szCs w:val="18"/>
        </w:rPr>
        <w:t>规定</w:t>
      </w:r>
      <w:r w:rsidR="000C131A" w:rsidRPr="001B2E07">
        <w:rPr>
          <w:rFonts w:hint="eastAsia"/>
          <w:szCs w:val="18"/>
        </w:rPr>
        <w:t>，若</w:t>
      </w:r>
      <w:r w:rsidR="000C131A">
        <w:rPr>
          <w:rFonts w:hint="eastAsia"/>
          <w:szCs w:val="18"/>
        </w:rPr>
        <w:t>脂肪</w:t>
      </w:r>
      <w:r w:rsidR="000C131A" w:rsidRPr="001B2E07">
        <w:rPr>
          <w:rFonts w:hint="eastAsia"/>
          <w:szCs w:val="18"/>
        </w:rPr>
        <w:t>含量</w:t>
      </w:r>
      <w:r w:rsidR="000C131A">
        <w:rPr>
          <w:rFonts w:hint="eastAsia"/>
          <w:szCs w:val="18"/>
        </w:rPr>
        <w:t>≤</w:t>
      </w:r>
      <w:r w:rsidR="000C131A">
        <w:rPr>
          <w:rFonts w:hint="eastAsia"/>
          <w:szCs w:val="18"/>
        </w:rPr>
        <w:t>3.0 g/100g</w:t>
      </w:r>
      <w:r w:rsidR="000C131A" w:rsidRPr="001B2E07">
        <w:rPr>
          <w:rFonts w:hint="eastAsia"/>
          <w:szCs w:val="18"/>
        </w:rPr>
        <w:t>，可归为</w:t>
      </w:r>
      <w:r w:rsidR="000C131A">
        <w:rPr>
          <w:rFonts w:hint="eastAsia"/>
          <w:szCs w:val="18"/>
        </w:rPr>
        <w:t>低脂肪</w:t>
      </w:r>
      <w:r w:rsidR="000C131A" w:rsidRPr="001B2E07">
        <w:rPr>
          <w:rFonts w:hint="eastAsia"/>
          <w:szCs w:val="18"/>
        </w:rPr>
        <w:t>食物</w:t>
      </w:r>
      <w:r w:rsidR="000C131A">
        <w:rPr>
          <w:rFonts w:hint="eastAsia"/>
          <w:szCs w:val="18"/>
        </w:rPr>
        <w:t>，为贴合环江菜牛低脂肪的特点，且检测结果平均值也达到了</w:t>
      </w:r>
      <w:r w:rsidR="000C131A">
        <w:rPr>
          <w:rFonts w:hint="eastAsia"/>
          <w:szCs w:val="18"/>
        </w:rPr>
        <w:t>3.42g/100g</w:t>
      </w:r>
      <w:r w:rsidR="000C131A">
        <w:rPr>
          <w:rFonts w:hint="eastAsia"/>
          <w:szCs w:val="18"/>
        </w:rPr>
        <w:t>，因此</w:t>
      </w:r>
      <w:r>
        <w:rPr>
          <w:rFonts w:hint="eastAsia"/>
          <w:szCs w:val="18"/>
        </w:rPr>
        <w:t>拟定</w:t>
      </w:r>
      <w:r w:rsidR="000C131A">
        <w:rPr>
          <w:rFonts w:hint="eastAsia"/>
          <w:szCs w:val="18"/>
        </w:rPr>
        <w:t>脂肪含量为</w:t>
      </w:r>
      <w:r>
        <w:rPr>
          <w:rFonts w:hint="eastAsia"/>
          <w:szCs w:val="18"/>
        </w:rPr>
        <w:t>≤</w:t>
      </w:r>
      <w:r w:rsidR="000C131A">
        <w:rPr>
          <w:rFonts w:hint="eastAsia"/>
          <w:szCs w:val="18"/>
        </w:rPr>
        <w:t>3</w:t>
      </w:r>
      <w:r w:rsidR="00243EA6">
        <w:rPr>
          <w:rFonts w:hint="eastAsia"/>
          <w:szCs w:val="18"/>
        </w:rPr>
        <w:t>.0</w:t>
      </w:r>
      <w:r>
        <w:rPr>
          <w:rFonts w:hint="eastAsia"/>
          <w:szCs w:val="18"/>
        </w:rPr>
        <w:t xml:space="preserve"> g/100g</w:t>
      </w:r>
      <w:r>
        <w:rPr>
          <w:rFonts w:hint="eastAsia"/>
          <w:szCs w:val="18"/>
        </w:rPr>
        <w:t>。而由表</w:t>
      </w:r>
      <w:r>
        <w:rPr>
          <w:rFonts w:hint="eastAsia"/>
          <w:szCs w:val="18"/>
        </w:rPr>
        <w:t>3</w:t>
      </w:r>
      <w:r>
        <w:rPr>
          <w:rFonts w:hint="eastAsia"/>
          <w:szCs w:val="18"/>
        </w:rPr>
        <w:t>可知，对比其他标准，南盘江黄牛脂肪限值为≤</w:t>
      </w:r>
      <w:r>
        <w:rPr>
          <w:rFonts w:hint="eastAsia"/>
          <w:szCs w:val="18"/>
        </w:rPr>
        <w:t>6.5g/100g</w:t>
      </w:r>
      <w:r>
        <w:rPr>
          <w:rFonts w:hint="eastAsia"/>
          <w:szCs w:val="18"/>
        </w:rPr>
        <w:t>，是同类标准中适配环江菜牛的合理限值，远低于茶陵黄牛、三江黄牛的≤</w:t>
      </w:r>
      <w:r>
        <w:rPr>
          <w:rFonts w:hint="eastAsia"/>
          <w:szCs w:val="18"/>
        </w:rPr>
        <w:t>18.5g/100g</w:t>
      </w:r>
      <w:r>
        <w:rPr>
          <w:rFonts w:hint="eastAsia"/>
          <w:szCs w:val="18"/>
        </w:rPr>
        <w:t>，契合环江菜牛“脂肪分布均匀、不油腻”的品质特</w:t>
      </w:r>
      <w:r>
        <w:rPr>
          <w:rFonts w:hint="eastAsia"/>
          <w:szCs w:val="18"/>
        </w:rPr>
        <w:lastRenderedPageBreak/>
        <w:t>点</w:t>
      </w:r>
      <w:r w:rsidR="00243EA6">
        <w:rPr>
          <w:rFonts w:hint="eastAsia"/>
          <w:szCs w:val="18"/>
        </w:rPr>
        <w:t>；而</w:t>
      </w:r>
      <w:r w:rsidR="00243EA6">
        <w:t>延边黄牛肉、类乌齐牦牛肉脂肪限值更低（</w:t>
      </w:r>
      <w:r w:rsidR="00243EA6">
        <w:t>≤3</w:t>
      </w:r>
      <w:r w:rsidR="00243EA6">
        <w:rPr>
          <w:rFonts w:hint="eastAsia"/>
        </w:rPr>
        <w:t xml:space="preserve"> </w:t>
      </w:r>
      <w:r w:rsidR="00243EA6">
        <w:t>g/</w:t>
      </w:r>
      <w:r w:rsidR="00243EA6">
        <w:rPr>
          <w:rFonts w:hint="eastAsia"/>
        </w:rPr>
        <w:t>100</w:t>
      </w:r>
      <w:r w:rsidR="00243EA6">
        <w:t>g</w:t>
      </w:r>
      <w:r w:rsidR="00243EA6">
        <w:t>），但环江菜牛结合自身</w:t>
      </w:r>
      <w:r w:rsidR="00243EA6">
        <w:t xml:space="preserve"> “</w:t>
      </w:r>
      <w:r w:rsidR="00243EA6">
        <w:t>肌间脂肪呈大理石花纹、肋间肉三隔肉状</w:t>
      </w:r>
      <w:r w:rsidR="00243EA6">
        <w:t xml:space="preserve">” </w:t>
      </w:r>
      <w:r w:rsidR="00243EA6">
        <w:t>的特色，未过度降低限值，保障了风味所需的脂肪基础，更贴合产品自身品质特征</w:t>
      </w:r>
      <w:r>
        <w:rPr>
          <w:rFonts w:hint="eastAsia"/>
          <w:szCs w:val="18"/>
        </w:rPr>
        <w:t>。在品质特性层面，脂肪是环江菜牛风味和口感的载体，该限值既保证肌肉间大理石花纹的形成，满足鲜嫩多汁的口感需求，又避免脂肪含量过高导致油腻，符合现代健康饮食趋势。</w:t>
      </w:r>
    </w:p>
    <w:p w:rsidR="002920CA" w:rsidRDefault="00DF169E">
      <w:pPr>
        <w:pStyle w:val="aff4"/>
        <w:numPr>
          <w:ilvl w:val="0"/>
          <w:numId w:val="18"/>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t>胆固醇</w:t>
      </w:r>
    </w:p>
    <w:p w:rsidR="002920CA" w:rsidRDefault="00DF169E">
      <w:pPr>
        <w:autoSpaceDE w:val="0"/>
        <w:autoSpaceDN w:val="0"/>
        <w:adjustRightInd w:val="0"/>
        <w:spacing w:line="560" w:lineRule="exact"/>
        <w:ind w:firstLine="640"/>
        <w:rPr>
          <w:szCs w:val="18"/>
        </w:rPr>
      </w:pPr>
      <w:r>
        <w:rPr>
          <w:rFonts w:hint="eastAsia"/>
          <w:szCs w:val="18"/>
        </w:rPr>
        <w:t>胆固醇含量是牛肉“健康属性”的重要指标。其含量低更符合现代健康饮食需求（如中老年、高血脂人群），能拓宽环江菜牛的消费群体，提升其市场竞争力，是“健康型牛肉”的加分项。含量高则会限制部分敏感人群的食用，降低牛肉的普适性，虽不直接影响口感，但会削弱其健康价值，间接影响品质评价。</w:t>
      </w:r>
    </w:p>
    <w:p w:rsidR="002920CA" w:rsidRDefault="00DF169E">
      <w:pPr>
        <w:autoSpaceDE w:val="0"/>
        <w:autoSpaceDN w:val="0"/>
        <w:adjustRightInd w:val="0"/>
        <w:spacing w:line="560" w:lineRule="exact"/>
        <w:ind w:firstLine="640"/>
        <w:rPr>
          <w:rFonts w:ascii="仿宋_GB2312" w:hAnsi="宋体"/>
          <w:bCs/>
          <w:szCs w:val="32"/>
          <w:lang w:val="zh-CN"/>
        </w:rPr>
      </w:pPr>
      <w:r>
        <w:rPr>
          <w:rFonts w:hint="eastAsia"/>
          <w:szCs w:val="18"/>
        </w:rPr>
        <w:t>由表</w:t>
      </w:r>
      <w:r>
        <w:rPr>
          <w:rFonts w:hint="eastAsia"/>
          <w:szCs w:val="18"/>
        </w:rPr>
        <w:t>2</w:t>
      </w:r>
      <w:r>
        <w:rPr>
          <w:rFonts w:hint="eastAsia"/>
          <w:szCs w:val="18"/>
        </w:rPr>
        <w:t>可知，抽检数据中地理标志证明商标</w:t>
      </w:r>
      <w:r>
        <w:rPr>
          <w:rFonts w:hint="eastAsia"/>
          <w:szCs w:val="18"/>
        </w:rPr>
        <w:t xml:space="preserve">  </w:t>
      </w:r>
      <w:r>
        <w:rPr>
          <w:rFonts w:hint="eastAsia"/>
          <w:szCs w:val="18"/>
        </w:rPr>
        <w:t>环江菜牛的</w:t>
      </w:r>
      <w:r>
        <w:rPr>
          <w:rFonts w:ascii="仿宋_GB2312" w:hAnsi="宋体" w:hint="eastAsia"/>
          <w:bCs/>
          <w:szCs w:val="32"/>
          <w:lang w:val="zh-CN"/>
        </w:rPr>
        <w:t>胆固醇</w:t>
      </w:r>
      <w:r>
        <w:rPr>
          <w:rFonts w:hint="eastAsia"/>
          <w:szCs w:val="18"/>
        </w:rPr>
        <w:t>含量最大值为</w:t>
      </w:r>
      <w:r>
        <w:rPr>
          <w:rFonts w:hint="eastAsia"/>
          <w:szCs w:val="18"/>
        </w:rPr>
        <w:t>43.7 mg/100g</w:t>
      </w:r>
      <w:r>
        <w:rPr>
          <w:rFonts w:hint="eastAsia"/>
          <w:szCs w:val="18"/>
        </w:rPr>
        <w:t>，最小值为</w:t>
      </w:r>
      <w:r>
        <w:rPr>
          <w:rFonts w:hint="eastAsia"/>
          <w:szCs w:val="18"/>
        </w:rPr>
        <w:t>41.6 mg/100g</w:t>
      </w:r>
      <w:r>
        <w:rPr>
          <w:rFonts w:hint="eastAsia"/>
          <w:szCs w:val="18"/>
        </w:rPr>
        <w:t>，平均值为</w:t>
      </w:r>
      <w:r>
        <w:rPr>
          <w:rFonts w:hint="eastAsia"/>
          <w:szCs w:val="18"/>
        </w:rPr>
        <w:t>42.98 mg/100g</w:t>
      </w:r>
      <w:r>
        <w:rPr>
          <w:rFonts w:hint="eastAsia"/>
          <w:szCs w:val="18"/>
        </w:rPr>
        <w:t>，各含量阶段占比如下：</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胆固醇</w:t>
      </w:r>
      <w:r>
        <w:rPr>
          <w:rFonts w:hint="eastAsia"/>
          <w:szCs w:val="18"/>
        </w:rPr>
        <w:t>含量≤</w:t>
      </w:r>
      <w:r>
        <w:rPr>
          <w:rFonts w:hint="eastAsia"/>
          <w:szCs w:val="18"/>
        </w:rPr>
        <w:t>45 mg/100g</w:t>
      </w:r>
      <w:r>
        <w:rPr>
          <w:rFonts w:hint="eastAsia"/>
          <w:szCs w:val="18"/>
        </w:rPr>
        <w:t>的占比为</w:t>
      </w:r>
      <w:r>
        <w:rPr>
          <w:rFonts w:hint="eastAsia"/>
          <w:szCs w:val="18"/>
        </w:rPr>
        <w:t>100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胆固醇</w:t>
      </w:r>
      <w:r>
        <w:rPr>
          <w:rFonts w:hint="eastAsia"/>
          <w:szCs w:val="18"/>
        </w:rPr>
        <w:t>含量≤</w:t>
      </w:r>
      <w:r>
        <w:rPr>
          <w:rFonts w:hint="eastAsia"/>
          <w:szCs w:val="18"/>
        </w:rPr>
        <w:t>43.5 mg/100g</w:t>
      </w:r>
      <w:r>
        <w:rPr>
          <w:rFonts w:hint="eastAsia"/>
          <w:szCs w:val="18"/>
        </w:rPr>
        <w:t>的占比为</w:t>
      </w:r>
      <w:r>
        <w:rPr>
          <w:rFonts w:hint="eastAsia"/>
          <w:szCs w:val="18"/>
        </w:rPr>
        <w:t>80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胆固醇</w:t>
      </w:r>
      <w:r>
        <w:rPr>
          <w:rFonts w:hint="eastAsia"/>
          <w:szCs w:val="18"/>
        </w:rPr>
        <w:t>含量≤</w:t>
      </w:r>
      <w:r>
        <w:rPr>
          <w:rFonts w:hint="eastAsia"/>
          <w:szCs w:val="18"/>
        </w:rPr>
        <w:t>43 mg/100g</w:t>
      </w:r>
      <w:r>
        <w:rPr>
          <w:rFonts w:hint="eastAsia"/>
          <w:szCs w:val="18"/>
        </w:rPr>
        <w:t>的占比为</w:t>
      </w:r>
      <w:r>
        <w:rPr>
          <w:rFonts w:hint="eastAsia"/>
          <w:szCs w:val="18"/>
        </w:rPr>
        <w:t>20</w:t>
      </w:r>
      <w:r>
        <w:rPr>
          <w:rFonts w:hint="eastAsia"/>
          <w:szCs w:val="18"/>
        </w:rPr>
        <w:t>％。</w:t>
      </w:r>
    </w:p>
    <w:p w:rsidR="002920CA" w:rsidRDefault="00DF169E">
      <w:pPr>
        <w:autoSpaceDE w:val="0"/>
        <w:autoSpaceDN w:val="0"/>
        <w:adjustRightInd w:val="0"/>
        <w:spacing w:line="560" w:lineRule="exact"/>
        <w:ind w:firstLine="640"/>
        <w:rPr>
          <w:szCs w:val="18"/>
        </w:rPr>
      </w:pPr>
      <w:r>
        <w:rPr>
          <w:rFonts w:hint="eastAsia"/>
          <w:szCs w:val="18"/>
        </w:rPr>
        <w:t>5</w:t>
      </w:r>
      <w:r>
        <w:rPr>
          <w:rFonts w:hint="eastAsia"/>
          <w:szCs w:val="18"/>
        </w:rPr>
        <w:t>家企业胆固醇含量最大值为</w:t>
      </w:r>
      <w:r>
        <w:rPr>
          <w:rFonts w:hint="eastAsia"/>
          <w:szCs w:val="18"/>
        </w:rPr>
        <w:t>43.7mg/100g</w:t>
      </w:r>
      <w:r>
        <w:rPr>
          <w:rFonts w:hint="eastAsia"/>
          <w:szCs w:val="18"/>
        </w:rPr>
        <w:t>，平均值为</w:t>
      </w:r>
      <w:r>
        <w:rPr>
          <w:rFonts w:hint="eastAsia"/>
          <w:szCs w:val="18"/>
        </w:rPr>
        <w:t>42.98 mg/100g</w:t>
      </w:r>
      <w:r>
        <w:rPr>
          <w:rFonts w:hint="eastAsia"/>
          <w:szCs w:val="18"/>
        </w:rPr>
        <w:t>，结合检测结果，拟定胆固醇含量≤</w:t>
      </w:r>
      <w:r>
        <w:rPr>
          <w:rFonts w:hint="eastAsia"/>
          <w:szCs w:val="18"/>
        </w:rPr>
        <w:t>45.0 mg/100g</w:t>
      </w:r>
      <w:r>
        <w:rPr>
          <w:rFonts w:hint="eastAsia"/>
          <w:szCs w:val="18"/>
        </w:rPr>
        <w:t>贴合实际检测结果，兼顾检测过程中的微小误差。对比其他标准，由表</w:t>
      </w:r>
      <w:r>
        <w:rPr>
          <w:rFonts w:hint="eastAsia"/>
          <w:szCs w:val="18"/>
        </w:rPr>
        <w:t>3</w:t>
      </w:r>
      <w:r>
        <w:rPr>
          <w:rFonts w:hint="eastAsia"/>
          <w:szCs w:val="18"/>
        </w:rPr>
        <w:t>可知，国内同类黄牛标准中仅南丹黄牛明确胆固醇≤</w:t>
      </w:r>
      <w:r>
        <w:rPr>
          <w:rFonts w:hint="eastAsia"/>
          <w:szCs w:val="18"/>
        </w:rPr>
        <w:t>62 mg/100g</w:t>
      </w:r>
      <w:r>
        <w:rPr>
          <w:rFonts w:hint="eastAsia"/>
          <w:szCs w:val="18"/>
        </w:rPr>
        <w:t>，环江菜牛定≤</w:t>
      </w:r>
      <w:r>
        <w:rPr>
          <w:rFonts w:hint="eastAsia"/>
          <w:szCs w:val="18"/>
        </w:rPr>
        <w:t>45.0 mg/100g</w:t>
      </w:r>
      <w:r>
        <w:rPr>
          <w:rFonts w:hint="eastAsia"/>
          <w:szCs w:val="18"/>
        </w:rPr>
        <w:t>远低于该值，凸显其低胆固醇的核心</w:t>
      </w:r>
      <w:r>
        <w:rPr>
          <w:rFonts w:hint="eastAsia"/>
          <w:szCs w:val="18"/>
        </w:rPr>
        <w:lastRenderedPageBreak/>
        <w:t>竞争优势，区别于其他地理标志黄牛产品。在品质特性层面，胆固醇是环江菜牛“健康属性”的关键指标，该限值适配中老年、高血脂等健康饮食需求人群，拓宽消费群体，契合其“健康型牛肉”的市场定位。</w:t>
      </w:r>
    </w:p>
    <w:p w:rsidR="002920CA" w:rsidRDefault="00DF169E">
      <w:pPr>
        <w:pStyle w:val="aff4"/>
        <w:numPr>
          <w:ilvl w:val="0"/>
          <w:numId w:val="18"/>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t>氨基酸总量</w:t>
      </w:r>
    </w:p>
    <w:p w:rsidR="002920CA" w:rsidRDefault="00DF169E">
      <w:pPr>
        <w:autoSpaceDE w:val="0"/>
        <w:autoSpaceDN w:val="0"/>
        <w:adjustRightInd w:val="0"/>
        <w:spacing w:line="560" w:lineRule="exact"/>
        <w:ind w:firstLine="640"/>
        <w:rPr>
          <w:szCs w:val="18"/>
        </w:rPr>
      </w:pPr>
      <w:r>
        <w:rPr>
          <w:rFonts w:hint="eastAsia"/>
          <w:szCs w:val="18"/>
        </w:rPr>
        <w:t>氨基酸总量高意味着牛肉能为人体提供更全面的氨基酸，营养更均衡。含量高代表牛肉的“营养精准度”更高，消化吸收后能更高效地满足人体需求，同时氨基酸中的鲜味氨基酸（如谷氨酸、天冬氨酸）会提升牛肉的“天然鲜味”，让口感更醇厚。含量低则代表蛋白质的营养价值降低，鲜味不足，整体品质（营养</w:t>
      </w:r>
      <w:r>
        <w:rPr>
          <w:rFonts w:hint="eastAsia"/>
          <w:szCs w:val="18"/>
        </w:rPr>
        <w:t xml:space="preserve"> + </w:t>
      </w:r>
      <w:r>
        <w:rPr>
          <w:rFonts w:hint="eastAsia"/>
          <w:szCs w:val="18"/>
        </w:rPr>
        <w:t>风味）会明显下滑。</w:t>
      </w:r>
    </w:p>
    <w:p w:rsidR="002920CA" w:rsidRDefault="00DF169E">
      <w:pPr>
        <w:autoSpaceDE w:val="0"/>
        <w:autoSpaceDN w:val="0"/>
        <w:adjustRightInd w:val="0"/>
        <w:spacing w:line="560" w:lineRule="exact"/>
        <w:ind w:firstLine="640"/>
        <w:jc w:val="left"/>
        <w:rPr>
          <w:szCs w:val="18"/>
        </w:rPr>
      </w:pPr>
      <w:r>
        <w:rPr>
          <w:rFonts w:hint="eastAsia"/>
          <w:szCs w:val="18"/>
        </w:rPr>
        <w:t>由表</w:t>
      </w:r>
      <w:r>
        <w:rPr>
          <w:rFonts w:hint="eastAsia"/>
          <w:szCs w:val="18"/>
        </w:rPr>
        <w:t>2</w:t>
      </w:r>
      <w:r>
        <w:rPr>
          <w:rFonts w:hint="eastAsia"/>
          <w:szCs w:val="18"/>
        </w:rPr>
        <w:t>可知，抽检数据中地理标志证明商标</w:t>
      </w:r>
      <w:r>
        <w:rPr>
          <w:rFonts w:hint="eastAsia"/>
          <w:szCs w:val="18"/>
        </w:rPr>
        <w:t xml:space="preserve">  </w:t>
      </w:r>
      <w:r>
        <w:rPr>
          <w:rFonts w:hint="eastAsia"/>
          <w:szCs w:val="18"/>
        </w:rPr>
        <w:t>环江菜牛的氨基酸总量最大值为</w:t>
      </w:r>
      <w:r>
        <w:rPr>
          <w:rFonts w:hint="eastAsia"/>
          <w:szCs w:val="18"/>
        </w:rPr>
        <w:t>19.7 g/100g</w:t>
      </w:r>
      <w:r>
        <w:rPr>
          <w:rFonts w:hint="eastAsia"/>
          <w:szCs w:val="18"/>
        </w:rPr>
        <w:t>，最小值为</w:t>
      </w:r>
      <w:r>
        <w:rPr>
          <w:rFonts w:hint="eastAsia"/>
          <w:szCs w:val="18"/>
        </w:rPr>
        <w:t>18.5 g/100g</w:t>
      </w:r>
      <w:r>
        <w:rPr>
          <w:rFonts w:hint="eastAsia"/>
          <w:szCs w:val="18"/>
        </w:rPr>
        <w:t>，平均值为</w:t>
      </w:r>
      <w:r>
        <w:rPr>
          <w:rFonts w:hint="eastAsia"/>
          <w:szCs w:val="18"/>
        </w:rPr>
        <w:t>18.98 g/100g</w:t>
      </w:r>
      <w:r>
        <w:rPr>
          <w:rFonts w:hint="eastAsia"/>
          <w:szCs w:val="18"/>
        </w:rPr>
        <w:t>，各阶段占比如下：</w:t>
      </w:r>
    </w:p>
    <w:p w:rsidR="002920CA" w:rsidRDefault="00DF169E">
      <w:pPr>
        <w:autoSpaceDE w:val="0"/>
        <w:autoSpaceDN w:val="0"/>
        <w:adjustRightInd w:val="0"/>
        <w:spacing w:line="560" w:lineRule="exact"/>
        <w:ind w:firstLine="640"/>
        <w:jc w:val="left"/>
        <w:rPr>
          <w:szCs w:val="18"/>
        </w:rPr>
      </w:pPr>
      <w:r>
        <w:rPr>
          <w:rFonts w:hint="eastAsia"/>
          <w:szCs w:val="18"/>
        </w:rPr>
        <w:t>——蛋白质含量</w:t>
      </w:r>
      <w:r>
        <w:t>≥</w:t>
      </w:r>
      <w:r>
        <w:rPr>
          <w:rFonts w:hint="eastAsia"/>
          <w:szCs w:val="18"/>
        </w:rPr>
        <w:t>18.0 g/100g</w:t>
      </w:r>
      <w:r>
        <w:rPr>
          <w:rFonts w:hint="eastAsia"/>
          <w:szCs w:val="18"/>
        </w:rPr>
        <w:t>的占比为</w:t>
      </w:r>
      <w:r>
        <w:rPr>
          <w:rFonts w:hint="eastAsia"/>
          <w:szCs w:val="18"/>
        </w:rPr>
        <w:t>100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——蛋白质含量</w:t>
      </w:r>
      <w:r>
        <w:t>≥</w:t>
      </w:r>
      <w:r>
        <w:rPr>
          <w:rFonts w:hint="eastAsia"/>
          <w:szCs w:val="18"/>
        </w:rPr>
        <w:t>19.0 g/100g</w:t>
      </w:r>
      <w:r>
        <w:rPr>
          <w:rFonts w:hint="eastAsia"/>
          <w:szCs w:val="18"/>
        </w:rPr>
        <w:t>的占比为</w:t>
      </w:r>
      <w:r>
        <w:rPr>
          <w:rFonts w:hint="eastAsia"/>
          <w:szCs w:val="18"/>
        </w:rPr>
        <w:t>60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——蛋白质含量</w:t>
      </w:r>
      <w:r>
        <w:t>≥</w:t>
      </w:r>
      <w:r>
        <w:rPr>
          <w:rFonts w:hint="eastAsia"/>
          <w:szCs w:val="18"/>
        </w:rPr>
        <w:t>19.5 g/100g</w:t>
      </w:r>
      <w:r>
        <w:rPr>
          <w:rFonts w:hint="eastAsia"/>
          <w:szCs w:val="18"/>
        </w:rPr>
        <w:t>的占比为</w:t>
      </w:r>
      <w:r>
        <w:rPr>
          <w:rFonts w:hint="eastAsia"/>
          <w:szCs w:val="18"/>
        </w:rPr>
        <w:t>40</w:t>
      </w:r>
      <w:r>
        <w:rPr>
          <w:rFonts w:hint="eastAsia"/>
          <w:szCs w:val="18"/>
        </w:rPr>
        <w:t>％。</w:t>
      </w:r>
    </w:p>
    <w:p w:rsidR="002920CA" w:rsidRDefault="00DF169E">
      <w:pPr>
        <w:autoSpaceDE w:val="0"/>
        <w:autoSpaceDN w:val="0"/>
        <w:adjustRightInd w:val="0"/>
        <w:spacing w:line="560" w:lineRule="exact"/>
        <w:ind w:firstLine="640"/>
        <w:rPr>
          <w:szCs w:val="18"/>
        </w:rPr>
      </w:pPr>
      <w:r>
        <w:rPr>
          <w:rFonts w:hint="eastAsia"/>
          <w:szCs w:val="18"/>
        </w:rPr>
        <w:t>5</w:t>
      </w:r>
      <w:r>
        <w:rPr>
          <w:rFonts w:hint="eastAsia"/>
          <w:szCs w:val="18"/>
        </w:rPr>
        <w:t>家企业氨基酸总量最小值为</w:t>
      </w:r>
      <w:r>
        <w:rPr>
          <w:rFonts w:hint="eastAsia"/>
          <w:szCs w:val="18"/>
        </w:rPr>
        <w:t>18.5 g/100g</w:t>
      </w:r>
      <w:r>
        <w:rPr>
          <w:rFonts w:hint="eastAsia"/>
          <w:szCs w:val="18"/>
        </w:rPr>
        <w:t>，平均值为</w:t>
      </w:r>
      <w:r>
        <w:rPr>
          <w:rFonts w:hint="eastAsia"/>
          <w:szCs w:val="18"/>
        </w:rPr>
        <w:t>18.98 g/100g</w:t>
      </w:r>
      <w:r>
        <w:rPr>
          <w:rFonts w:hint="eastAsia"/>
          <w:szCs w:val="18"/>
        </w:rPr>
        <w:t>，结合检测结果拟定氨基酸总量为≥</w:t>
      </w:r>
      <w:r>
        <w:rPr>
          <w:rFonts w:hint="eastAsia"/>
          <w:szCs w:val="18"/>
        </w:rPr>
        <w:t>18.0 g/100g</w:t>
      </w:r>
      <w:r>
        <w:rPr>
          <w:rFonts w:hint="eastAsia"/>
          <w:szCs w:val="18"/>
        </w:rPr>
        <w:t>，以实际检测最小值为门槛，确保产品营养均衡性；由表</w:t>
      </w:r>
      <w:r>
        <w:rPr>
          <w:rFonts w:hint="eastAsia"/>
          <w:szCs w:val="18"/>
        </w:rPr>
        <w:t>3</w:t>
      </w:r>
      <w:r>
        <w:rPr>
          <w:rFonts w:hint="eastAsia"/>
          <w:szCs w:val="18"/>
        </w:rPr>
        <w:t>可知，对比其他标准，南丹黄牛氨基酸总量要求≥</w:t>
      </w:r>
      <w:r>
        <w:rPr>
          <w:rFonts w:hint="eastAsia"/>
          <w:szCs w:val="18"/>
        </w:rPr>
        <w:t>16.0g/100g</w:t>
      </w:r>
      <w:r>
        <w:rPr>
          <w:rFonts w:hint="eastAsia"/>
          <w:szCs w:val="18"/>
        </w:rPr>
        <w:t>，环江菜牛定≥</w:t>
      </w:r>
      <w:r>
        <w:rPr>
          <w:rFonts w:hint="eastAsia"/>
          <w:szCs w:val="18"/>
        </w:rPr>
        <w:t>18.0 g/100g</w:t>
      </w:r>
      <w:r>
        <w:rPr>
          <w:rFonts w:hint="eastAsia"/>
          <w:szCs w:val="18"/>
        </w:rPr>
        <w:t>远高于该值，凸显其氨基酸含量高、营养更全面的优势。在品质特性层面，氨基酸总量直接反映牛肉的营养精准度，该限值能保障环江菜牛为人体提供更全面的氨基酸，同时支撑鲜</w:t>
      </w:r>
      <w:r>
        <w:rPr>
          <w:rFonts w:hint="eastAsia"/>
          <w:szCs w:val="18"/>
        </w:rPr>
        <w:lastRenderedPageBreak/>
        <w:t>味和肉质品质，符合名特优新农产品的营养要求。</w:t>
      </w:r>
    </w:p>
    <w:p w:rsidR="002920CA" w:rsidRDefault="00DF169E">
      <w:pPr>
        <w:pStyle w:val="aff4"/>
        <w:numPr>
          <w:ilvl w:val="0"/>
          <w:numId w:val="18"/>
        </w:numPr>
        <w:autoSpaceDE w:val="0"/>
        <w:autoSpaceDN w:val="0"/>
        <w:adjustRightInd w:val="0"/>
        <w:spacing w:line="560" w:lineRule="exact"/>
        <w:ind w:firstLineChars="0"/>
        <w:jc w:val="left"/>
        <w:rPr>
          <w:rFonts w:ascii="仿宋_GB2312" w:hAnsi="宋体"/>
          <w:bCs/>
          <w:szCs w:val="32"/>
          <w:lang w:val="zh-CN"/>
        </w:rPr>
      </w:pPr>
      <w:r>
        <w:rPr>
          <w:rFonts w:ascii="仿宋_GB2312" w:hAnsi="宋体" w:hint="eastAsia"/>
          <w:bCs/>
          <w:szCs w:val="32"/>
          <w:lang w:val="zh-CN"/>
        </w:rPr>
        <w:t>水分</w:t>
      </w:r>
    </w:p>
    <w:p w:rsidR="002920CA" w:rsidRDefault="00DF169E">
      <w:pPr>
        <w:autoSpaceDE w:val="0"/>
        <w:autoSpaceDN w:val="0"/>
        <w:adjustRightInd w:val="0"/>
        <w:spacing w:line="560" w:lineRule="exact"/>
        <w:ind w:firstLine="640"/>
        <w:rPr>
          <w:szCs w:val="18"/>
        </w:rPr>
      </w:pPr>
      <w:r>
        <w:rPr>
          <w:rFonts w:hint="eastAsia"/>
          <w:szCs w:val="18"/>
        </w:rPr>
        <w:t>水分是牛肉细胞的主要成分，能维持肌肉组织的结构和弹性，也是肉中营养物质（如氨基酸、矿物质）的溶解和运输载体，直接影响牛肉的“新鲜度”和“保水性”。含量适中（通常新鲜牛肉水分含量在</w:t>
      </w:r>
      <w:r>
        <w:rPr>
          <w:rFonts w:hint="eastAsia"/>
          <w:szCs w:val="18"/>
        </w:rPr>
        <w:t>70%</w:t>
      </w:r>
      <w:r>
        <w:rPr>
          <w:rFonts w:hint="eastAsia"/>
          <w:szCs w:val="18"/>
        </w:rPr>
        <w:t>～</w:t>
      </w:r>
      <w:r>
        <w:rPr>
          <w:rFonts w:hint="eastAsia"/>
          <w:szCs w:val="18"/>
        </w:rPr>
        <w:t>75%</w:t>
      </w:r>
      <w:r>
        <w:rPr>
          <w:rFonts w:hint="eastAsia"/>
          <w:szCs w:val="18"/>
        </w:rPr>
        <w:t>）说明肉质鲜嫩多汁，烹饪时不易缩水，能保持较好的口感和形态，是环江菜牛“新鲜品质”的基础。含量过高代表牛肉易变质，口感偏“水嫩”但无肉香，且烹饪后缩水严重；含量过低代表肉质干硬，咀嚼困难，新鲜度和食用价值大幅下降。</w:t>
      </w:r>
    </w:p>
    <w:p w:rsidR="002920CA" w:rsidRDefault="00DF169E">
      <w:pPr>
        <w:autoSpaceDE w:val="0"/>
        <w:autoSpaceDN w:val="0"/>
        <w:adjustRightInd w:val="0"/>
        <w:spacing w:line="560" w:lineRule="exact"/>
        <w:ind w:firstLine="640"/>
        <w:rPr>
          <w:rFonts w:ascii="仿宋_GB2312" w:hAnsi="宋体"/>
          <w:bCs/>
          <w:szCs w:val="32"/>
          <w:lang w:val="zh-CN"/>
        </w:rPr>
      </w:pPr>
      <w:r>
        <w:rPr>
          <w:rFonts w:hint="eastAsia"/>
          <w:szCs w:val="18"/>
        </w:rPr>
        <w:t>由表</w:t>
      </w:r>
      <w:r>
        <w:rPr>
          <w:rFonts w:hint="eastAsia"/>
          <w:szCs w:val="18"/>
        </w:rPr>
        <w:t>2</w:t>
      </w:r>
      <w:r>
        <w:rPr>
          <w:rFonts w:hint="eastAsia"/>
          <w:szCs w:val="18"/>
        </w:rPr>
        <w:t>可知，抽检数据中地理标志证明商标</w:t>
      </w:r>
      <w:r>
        <w:rPr>
          <w:rFonts w:hint="eastAsia"/>
          <w:szCs w:val="18"/>
        </w:rPr>
        <w:t xml:space="preserve">  </w:t>
      </w:r>
      <w:r>
        <w:rPr>
          <w:rFonts w:hint="eastAsia"/>
          <w:szCs w:val="18"/>
        </w:rPr>
        <w:t>环江菜牛的</w:t>
      </w:r>
      <w:r>
        <w:rPr>
          <w:rFonts w:ascii="仿宋_GB2312" w:hAnsi="宋体" w:hint="eastAsia"/>
          <w:bCs/>
          <w:szCs w:val="32"/>
          <w:lang w:val="zh-CN"/>
        </w:rPr>
        <w:t>水分</w:t>
      </w:r>
      <w:r>
        <w:rPr>
          <w:rFonts w:hint="eastAsia"/>
          <w:szCs w:val="18"/>
        </w:rPr>
        <w:t>含量最大值为</w:t>
      </w:r>
      <w:r>
        <w:rPr>
          <w:rFonts w:hint="eastAsia"/>
          <w:szCs w:val="18"/>
        </w:rPr>
        <w:t>75.3 g/100g</w:t>
      </w:r>
      <w:r>
        <w:rPr>
          <w:rFonts w:hint="eastAsia"/>
          <w:szCs w:val="18"/>
        </w:rPr>
        <w:t>，最小值为</w:t>
      </w:r>
      <w:r>
        <w:rPr>
          <w:rFonts w:hint="eastAsia"/>
          <w:szCs w:val="18"/>
        </w:rPr>
        <w:t>41.6 g/100g</w:t>
      </w:r>
      <w:r>
        <w:rPr>
          <w:rFonts w:hint="eastAsia"/>
          <w:szCs w:val="18"/>
        </w:rPr>
        <w:t>，平均值为</w:t>
      </w:r>
      <w:r>
        <w:rPr>
          <w:rFonts w:hint="eastAsia"/>
          <w:szCs w:val="18"/>
        </w:rPr>
        <w:t>74.3 g/100g</w:t>
      </w:r>
      <w:r>
        <w:rPr>
          <w:rFonts w:hint="eastAsia"/>
          <w:szCs w:val="18"/>
        </w:rPr>
        <w:t>，各含量阶段占比如下：</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水分</w:t>
      </w:r>
      <w:r>
        <w:rPr>
          <w:rFonts w:hint="eastAsia"/>
          <w:szCs w:val="18"/>
        </w:rPr>
        <w:t>含量≤</w:t>
      </w:r>
      <w:r>
        <w:rPr>
          <w:rFonts w:hint="eastAsia"/>
          <w:szCs w:val="18"/>
        </w:rPr>
        <w:t>77 g/100g</w:t>
      </w:r>
      <w:r>
        <w:rPr>
          <w:rFonts w:hint="eastAsia"/>
          <w:szCs w:val="18"/>
        </w:rPr>
        <w:t>的占比为</w:t>
      </w:r>
      <w:r>
        <w:rPr>
          <w:rFonts w:hint="eastAsia"/>
          <w:szCs w:val="18"/>
        </w:rPr>
        <w:t>100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水分</w:t>
      </w:r>
      <w:r>
        <w:rPr>
          <w:rFonts w:hint="eastAsia"/>
          <w:szCs w:val="18"/>
        </w:rPr>
        <w:t>含量≤</w:t>
      </w:r>
      <w:r>
        <w:rPr>
          <w:rFonts w:hint="eastAsia"/>
          <w:szCs w:val="18"/>
        </w:rPr>
        <w:t>75 g/100g</w:t>
      </w:r>
      <w:r>
        <w:rPr>
          <w:rFonts w:hint="eastAsia"/>
          <w:szCs w:val="18"/>
        </w:rPr>
        <w:t>的占比为</w:t>
      </w:r>
      <w:r>
        <w:rPr>
          <w:rFonts w:hint="eastAsia"/>
          <w:szCs w:val="18"/>
        </w:rPr>
        <w:t>80</w:t>
      </w:r>
      <w:r>
        <w:rPr>
          <w:rFonts w:hint="eastAsia"/>
          <w:szCs w:val="18"/>
        </w:rPr>
        <w:t>％；</w:t>
      </w:r>
    </w:p>
    <w:p w:rsidR="002920CA" w:rsidRDefault="00DF169E">
      <w:pPr>
        <w:autoSpaceDE w:val="0"/>
        <w:autoSpaceDN w:val="0"/>
        <w:adjustRightInd w:val="0"/>
        <w:spacing w:line="560" w:lineRule="exact"/>
        <w:ind w:firstLine="640"/>
        <w:jc w:val="left"/>
        <w:rPr>
          <w:szCs w:val="18"/>
        </w:rPr>
      </w:pPr>
      <w:r>
        <w:rPr>
          <w:rFonts w:hint="eastAsia"/>
          <w:szCs w:val="18"/>
        </w:rPr>
        <w:t>——</w:t>
      </w:r>
      <w:r>
        <w:rPr>
          <w:rFonts w:ascii="仿宋_GB2312" w:hAnsi="宋体" w:hint="eastAsia"/>
          <w:bCs/>
          <w:szCs w:val="32"/>
          <w:lang w:val="zh-CN"/>
        </w:rPr>
        <w:t>水分</w:t>
      </w:r>
      <w:r>
        <w:rPr>
          <w:rFonts w:hint="eastAsia"/>
          <w:szCs w:val="18"/>
        </w:rPr>
        <w:t>含量≤</w:t>
      </w:r>
      <w:r>
        <w:rPr>
          <w:rFonts w:hint="eastAsia"/>
          <w:szCs w:val="18"/>
        </w:rPr>
        <w:t>74 g/100g</w:t>
      </w:r>
      <w:r>
        <w:rPr>
          <w:rFonts w:hint="eastAsia"/>
          <w:szCs w:val="18"/>
        </w:rPr>
        <w:t>的占比为</w:t>
      </w:r>
      <w:r>
        <w:rPr>
          <w:rFonts w:hint="eastAsia"/>
          <w:szCs w:val="18"/>
        </w:rPr>
        <w:t>20</w:t>
      </w:r>
      <w:r>
        <w:rPr>
          <w:rFonts w:hint="eastAsia"/>
          <w:szCs w:val="18"/>
        </w:rPr>
        <w:t>％。</w:t>
      </w:r>
    </w:p>
    <w:p w:rsidR="002920CA" w:rsidRDefault="00DF169E">
      <w:pPr>
        <w:autoSpaceDE w:val="0"/>
        <w:autoSpaceDN w:val="0"/>
        <w:adjustRightInd w:val="0"/>
        <w:spacing w:line="560" w:lineRule="exact"/>
        <w:ind w:firstLine="640"/>
        <w:rPr>
          <w:rFonts w:ascii="仿宋_GB2312" w:hAnsi="宋体"/>
          <w:bCs/>
          <w:szCs w:val="32"/>
        </w:rPr>
      </w:pPr>
      <w:r>
        <w:rPr>
          <w:rFonts w:ascii="仿宋_GB2312" w:hAnsi="宋体" w:hint="eastAsia"/>
          <w:bCs/>
          <w:szCs w:val="32"/>
        </w:rPr>
        <w:t>5家企业水分最大值为75.3 g/100g，平均值为74.3g/100g，结合检测结果分析，拟定≤77 g/100g贴合实际检测结果，预留检测和储运过程中的微小波动空间。由表3可知，对比其他标准，延边黄牛肉水分≤74.5g/100g，南丹黄牛、兴安盟牛肉等≤77g/100g，环江菜牛定≤77 g/100g处于合理区间，既严于宽松限值，又避免因限值过严导致实际执行困难。在品质特性层面，水分直接影响牛肉新鲜度和保水性，该限值能保障肉质鲜嫩多汁、烹饪不易缩水，同时避免水分过高导致肉质偏软、易变质，兼顾</w:t>
      </w:r>
      <w:r>
        <w:rPr>
          <w:rFonts w:ascii="仿宋_GB2312" w:hAnsi="宋体" w:hint="eastAsia"/>
          <w:bCs/>
          <w:szCs w:val="32"/>
        </w:rPr>
        <w:lastRenderedPageBreak/>
        <w:t>新鲜度和食用品质。</w:t>
      </w:r>
    </w:p>
    <w:p w:rsidR="00243EA6" w:rsidRDefault="00243EA6" w:rsidP="00243EA6">
      <w:pPr>
        <w:autoSpaceDE w:val="0"/>
        <w:autoSpaceDN w:val="0"/>
        <w:adjustRightInd w:val="0"/>
        <w:spacing w:line="560" w:lineRule="exact"/>
        <w:ind w:firstLine="640"/>
        <w:rPr>
          <w:rFonts w:ascii="仿宋_GB2312" w:hAnsi="宋体"/>
          <w:bCs/>
          <w:szCs w:val="32"/>
        </w:rPr>
      </w:pPr>
      <w:r>
        <w:rPr>
          <w:rFonts w:ascii="仿宋_GB2312" w:hAnsi="宋体" w:hint="eastAsia"/>
          <w:bCs/>
          <w:szCs w:val="32"/>
        </w:rPr>
        <w:t>因此，综合以上分析，明确了环江菜牛的理化指标要求见表4。</w:t>
      </w:r>
      <w:r w:rsidRPr="00243EA6">
        <w:rPr>
          <w:rFonts w:ascii="仿宋_GB2312" w:hAnsi="宋体" w:hint="eastAsia"/>
          <w:bCs/>
          <w:szCs w:val="32"/>
        </w:rPr>
        <w:t>环江菜牛五大核心理化指标的制定，并非单纯对标同类标准，而是以实际抽检数据为基础、以产品自身品质特色为核心、以现代健康饮食需求为导向，相较于国内同类地理标志黄牛产品，整体形成了</w:t>
      </w:r>
      <w:r>
        <w:rPr>
          <w:rFonts w:ascii="仿宋_GB2312" w:hAnsi="宋体" w:hint="eastAsia"/>
          <w:bCs/>
          <w:szCs w:val="32"/>
        </w:rPr>
        <w:t>“高蛋白、低脂肪</w:t>
      </w:r>
      <w:r w:rsidRPr="00243EA6">
        <w:rPr>
          <w:rFonts w:ascii="仿宋_GB2312" w:hAnsi="宋体" w:hint="eastAsia"/>
          <w:bCs/>
          <w:szCs w:val="32"/>
        </w:rPr>
        <w:t>、氨基酸丰富”的综合品质优势，且所有指标均有实测数据</w:t>
      </w:r>
      <w:r>
        <w:rPr>
          <w:rFonts w:ascii="仿宋_GB2312" w:hAnsi="宋体" w:hint="eastAsia"/>
          <w:bCs/>
          <w:szCs w:val="32"/>
        </w:rPr>
        <w:t>验证</w:t>
      </w:r>
      <w:r w:rsidRPr="00243EA6">
        <w:rPr>
          <w:rFonts w:ascii="仿宋_GB2312" w:hAnsi="宋体" w:hint="eastAsia"/>
          <w:bCs/>
          <w:szCs w:val="32"/>
        </w:rPr>
        <w:t>，避免了“虚设高指标”的问题，同时填补了多数同类产品在氨基酸总量、胆固醇等健康营养指标上的空白，让环江菜牛的品质特征更具体、更规范、更具市场竞争力，也为其地理标志证明商标的使用、品牌化发展奠定了标准化基础。</w:t>
      </w:r>
    </w:p>
    <w:p w:rsidR="00243EA6" w:rsidRDefault="00243EA6" w:rsidP="00243EA6">
      <w:pPr>
        <w:autoSpaceDE w:val="0"/>
        <w:autoSpaceDN w:val="0"/>
        <w:adjustRightInd w:val="0"/>
        <w:spacing w:line="560" w:lineRule="exact"/>
        <w:ind w:firstLineChars="0" w:firstLine="0"/>
        <w:jc w:val="center"/>
        <w:rPr>
          <w:rFonts w:ascii="仿宋_GB2312" w:hAnsi="宋体"/>
          <w:bCs/>
          <w:szCs w:val="32"/>
        </w:rPr>
      </w:pPr>
      <w:r>
        <w:rPr>
          <w:rFonts w:ascii="仿宋_GB2312" w:hAnsi="宋体" w:hint="eastAsia"/>
          <w:bCs/>
          <w:szCs w:val="32"/>
        </w:rPr>
        <w:t>表4 环江菜牛理化指标要求</w:t>
      </w:r>
    </w:p>
    <w:tbl>
      <w:tblPr>
        <w:tblStyle w:val="afb"/>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01"/>
        <w:gridCol w:w="281"/>
        <w:gridCol w:w="4196"/>
      </w:tblGrid>
      <w:tr w:rsidR="00243EA6" w:rsidRPr="00243EA6" w:rsidTr="00681C0C">
        <w:trPr>
          <w:trHeight w:val="624"/>
          <w:tblHeader/>
          <w:jc w:val="center"/>
        </w:trPr>
        <w:tc>
          <w:tcPr>
            <w:tcW w:w="4782" w:type="dxa"/>
            <w:gridSpan w:val="2"/>
            <w:tcBorders>
              <w:top w:val="single" w:sz="8" w:space="0" w:color="auto"/>
              <w:bottom w:val="single" w:sz="8"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项目</w:t>
            </w:r>
          </w:p>
        </w:tc>
        <w:tc>
          <w:tcPr>
            <w:tcW w:w="4196" w:type="dxa"/>
            <w:tcBorders>
              <w:top w:val="single" w:sz="8" w:space="0" w:color="auto"/>
              <w:bottom w:val="single" w:sz="8"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指标</w:t>
            </w:r>
          </w:p>
        </w:tc>
      </w:tr>
      <w:tr w:rsidR="00243EA6" w:rsidRPr="00243EA6" w:rsidTr="00681C0C">
        <w:trPr>
          <w:trHeight w:val="624"/>
          <w:jc w:val="center"/>
        </w:trPr>
        <w:tc>
          <w:tcPr>
            <w:tcW w:w="4501" w:type="dxa"/>
            <w:tcBorders>
              <w:top w:val="single" w:sz="8" w:space="0" w:color="auto"/>
              <w:right w:val="nil"/>
            </w:tcBorders>
            <w:shd w:val="clear" w:color="auto" w:fill="auto"/>
            <w:vAlign w:val="center"/>
          </w:tcPr>
          <w:p w:rsidR="00243EA6" w:rsidRPr="00243EA6" w:rsidRDefault="00243EA6" w:rsidP="00243EA6">
            <w:pPr>
              <w:pStyle w:val="aff9"/>
              <w:ind w:firstLineChars="100" w:firstLine="220"/>
              <w:jc w:val="left"/>
              <w:rPr>
                <w:sz w:val="22"/>
              </w:rPr>
            </w:pPr>
            <w:r w:rsidRPr="00243EA6">
              <w:rPr>
                <w:rFonts w:hint="eastAsia"/>
                <w:sz w:val="22"/>
              </w:rPr>
              <w:t>蛋白质/（g/100</w:t>
            </w:r>
            <w:r w:rsidRPr="00243EA6">
              <w:rPr>
                <w:rFonts w:hint="eastAsia"/>
                <w:sz w:val="22"/>
                <w:vertAlign w:val="subscript"/>
              </w:rPr>
              <w:t xml:space="preserve"> </w:t>
            </w:r>
            <w:r w:rsidRPr="00243EA6">
              <w:rPr>
                <w:rFonts w:hint="eastAsia"/>
                <w:sz w:val="22"/>
              </w:rPr>
              <w:t xml:space="preserve">g）                                </w:t>
            </w:r>
          </w:p>
        </w:tc>
        <w:tc>
          <w:tcPr>
            <w:tcW w:w="281" w:type="dxa"/>
            <w:tcBorders>
              <w:top w:val="single" w:sz="8" w:space="0" w:color="auto"/>
              <w:left w:val="nil"/>
              <w:bottom w:val="single" w:sz="4" w:space="0" w:color="auto"/>
              <w:right w:val="single" w:sz="4" w:space="0" w:color="auto"/>
            </w:tcBorders>
            <w:shd w:val="clear" w:color="auto" w:fill="auto"/>
            <w:vAlign w:val="center"/>
          </w:tcPr>
          <w:p w:rsidR="00243EA6" w:rsidRPr="00243EA6" w:rsidRDefault="00243EA6" w:rsidP="00243EA6">
            <w:pPr>
              <w:pStyle w:val="aff9"/>
              <w:ind w:firstLine="640"/>
              <w:jc w:val="left"/>
              <w:rPr>
                <w:sz w:val="22"/>
              </w:rPr>
            </w:pPr>
            <w:r w:rsidRPr="00243EA6">
              <w:rPr>
                <w:rFonts w:hint="eastAsia"/>
                <w:sz w:val="22"/>
              </w:rPr>
              <w:t>≥</w:t>
            </w:r>
          </w:p>
        </w:tc>
        <w:tc>
          <w:tcPr>
            <w:tcW w:w="4196" w:type="dxa"/>
            <w:tcBorders>
              <w:top w:val="single" w:sz="8" w:space="0" w:color="auto"/>
              <w:left w:val="single" w:sz="4"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20.0</w:t>
            </w:r>
          </w:p>
        </w:tc>
      </w:tr>
      <w:tr w:rsidR="00243EA6" w:rsidRPr="00243EA6" w:rsidTr="00681C0C">
        <w:trPr>
          <w:trHeight w:val="624"/>
          <w:jc w:val="center"/>
        </w:trPr>
        <w:tc>
          <w:tcPr>
            <w:tcW w:w="4501" w:type="dxa"/>
            <w:tcBorders>
              <w:right w:val="nil"/>
            </w:tcBorders>
            <w:shd w:val="clear" w:color="auto" w:fill="auto"/>
            <w:vAlign w:val="center"/>
          </w:tcPr>
          <w:p w:rsidR="00243EA6" w:rsidRPr="00243EA6" w:rsidRDefault="00243EA6" w:rsidP="00243EA6">
            <w:pPr>
              <w:pStyle w:val="aff9"/>
              <w:ind w:firstLineChars="100" w:firstLine="220"/>
              <w:jc w:val="left"/>
              <w:rPr>
                <w:sz w:val="22"/>
              </w:rPr>
            </w:pPr>
            <w:r w:rsidRPr="00243EA6">
              <w:rPr>
                <w:rFonts w:hint="eastAsia"/>
                <w:sz w:val="22"/>
              </w:rPr>
              <w:t>脂肪/（g/100</w:t>
            </w:r>
            <w:r w:rsidRPr="00243EA6">
              <w:rPr>
                <w:rFonts w:hint="eastAsia"/>
                <w:sz w:val="22"/>
                <w:vertAlign w:val="subscript"/>
              </w:rPr>
              <w:t xml:space="preserve"> </w:t>
            </w:r>
            <w:r w:rsidRPr="00243EA6">
              <w:rPr>
                <w:rFonts w:hint="eastAsia"/>
                <w:sz w:val="22"/>
              </w:rPr>
              <w:t xml:space="preserve">g）                                  </w:t>
            </w:r>
          </w:p>
        </w:tc>
        <w:tc>
          <w:tcPr>
            <w:tcW w:w="281" w:type="dxa"/>
            <w:tcBorders>
              <w:top w:val="single" w:sz="4" w:space="0" w:color="auto"/>
              <w:left w:val="nil"/>
              <w:bottom w:val="single" w:sz="4" w:space="0" w:color="auto"/>
              <w:right w:val="single" w:sz="4" w:space="0" w:color="auto"/>
            </w:tcBorders>
            <w:shd w:val="clear" w:color="auto" w:fill="auto"/>
            <w:vAlign w:val="center"/>
          </w:tcPr>
          <w:p w:rsidR="00243EA6" w:rsidRPr="00243EA6" w:rsidRDefault="00243EA6" w:rsidP="00243EA6">
            <w:pPr>
              <w:pStyle w:val="aff9"/>
              <w:ind w:firstLine="640"/>
              <w:jc w:val="left"/>
              <w:rPr>
                <w:sz w:val="22"/>
              </w:rPr>
            </w:pPr>
            <w:r w:rsidRPr="00243EA6">
              <w:rPr>
                <w:rFonts w:hint="eastAsia"/>
                <w:sz w:val="22"/>
              </w:rPr>
              <w:t>≤</w:t>
            </w:r>
          </w:p>
        </w:tc>
        <w:tc>
          <w:tcPr>
            <w:tcW w:w="4196" w:type="dxa"/>
            <w:tcBorders>
              <w:left w:val="single" w:sz="4" w:space="0" w:color="auto"/>
            </w:tcBorders>
            <w:shd w:val="clear" w:color="auto" w:fill="auto"/>
            <w:vAlign w:val="center"/>
          </w:tcPr>
          <w:p w:rsidR="00243EA6" w:rsidRPr="00243EA6" w:rsidRDefault="00681C0C" w:rsidP="00243EA6">
            <w:pPr>
              <w:pStyle w:val="aff9"/>
              <w:ind w:firstLine="640"/>
              <w:rPr>
                <w:sz w:val="22"/>
              </w:rPr>
            </w:pPr>
            <w:r>
              <w:rPr>
                <w:rFonts w:hint="eastAsia"/>
                <w:sz w:val="22"/>
              </w:rPr>
              <w:t>3.0</w:t>
            </w:r>
          </w:p>
        </w:tc>
      </w:tr>
      <w:tr w:rsidR="00243EA6" w:rsidRPr="00243EA6" w:rsidTr="00681C0C">
        <w:trPr>
          <w:trHeight w:val="624"/>
          <w:jc w:val="center"/>
        </w:trPr>
        <w:tc>
          <w:tcPr>
            <w:tcW w:w="4501" w:type="dxa"/>
            <w:tcBorders>
              <w:right w:val="nil"/>
            </w:tcBorders>
            <w:shd w:val="clear" w:color="auto" w:fill="auto"/>
            <w:vAlign w:val="center"/>
          </w:tcPr>
          <w:p w:rsidR="00243EA6" w:rsidRPr="00243EA6" w:rsidRDefault="00243EA6" w:rsidP="00243EA6">
            <w:pPr>
              <w:pStyle w:val="aff9"/>
              <w:ind w:firstLineChars="100" w:firstLine="220"/>
              <w:jc w:val="left"/>
              <w:rPr>
                <w:sz w:val="22"/>
              </w:rPr>
            </w:pPr>
            <w:r w:rsidRPr="00243EA6">
              <w:rPr>
                <w:rFonts w:hint="eastAsia"/>
                <w:sz w:val="22"/>
              </w:rPr>
              <w:t>胆固醇/（mg/100</w:t>
            </w:r>
            <w:r w:rsidRPr="00243EA6">
              <w:rPr>
                <w:rFonts w:hint="eastAsia"/>
                <w:sz w:val="22"/>
                <w:vertAlign w:val="subscript"/>
              </w:rPr>
              <w:t xml:space="preserve"> </w:t>
            </w:r>
            <w:r w:rsidRPr="00243EA6">
              <w:rPr>
                <w:rFonts w:hint="eastAsia"/>
                <w:sz w:val="22"/>
              </w:rPr>
              <w:t xml:space="preserve">g）                               </w:t>
            </w:r>
          </w:p>
        </w:tc>
        <w:tc>
          <w:tcPr>
            <w:tcW w:w="281" w:type="dxa"/>
            <w:tcBorders>
              <w:top w:val="single" w:sz="4" w:space="0" w:color="auto"/>
              <w:left w:val="nil"/>
              <w:bottom w:val="single" w:sz="4" w:space="0" w:color="auto"/>
              <w:right w:val="single" w:sz="4" w:space="0" w:color="auto"/>
            </w:tcBorders>
            <w:shd w:val="clear" w:color="auto" w:fill="auto"/>
            <w:vAlign w:val="center"/>
          </w:tcPr>
          <w:p w:rsidR="00243EA6" w:rsidRPr="00243EA6" w:rsidRDefault="00243EA6" w:rsidP="00243EA6">
            <w:pPr>
              <w:pStyle w:val="aff9"/>
              <w:ind w:firstLine="640"/>
              <w:jc w:val="left"/>
              <w:rPr>
                <w:sz w:val="22"/>
              </w:rPr>
            </w:pPr>
            <w:r w:rsidRPr="00243EA6">
              <w:rPr>
                <w:rFonts w:hint="eastAsia"/>
                <w:sz w:val="22"/>
              </w:rPr>
              <w:t>≤</w:t>
            </w:r>
          </w:p>
        </w:tc>
        <w:tc>
          <w:tcPr>
            <w:tcW w:w="4196" w:type="dxa"/>
            <w:tcBorders>
              <w:left w:val="single" w:sz="4"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45.0</w:t>
            </w:r>
          </w:p>
        </w:tc>
      </w:tr>
      <w:tr w:rsidR="00243EA6" w:rsidRPr="00243EA6" w:rsidTr="00681C0C">
        <w:trPr>
          <w:trHeight w:val="624"/>
          <w:jc w:val="center"/>
        </w:trPr>
        <w:tc>
          <w:tcPr>
            <w:tcW w:w="4501" w:type="dxa"/>
            <w:tcBorders>
              <w:right w:val="nil"/>
            </w:tcBorders>
            <w:shd w:val="clear" w:color="auto" w:fill="auto"/>
            <w:vAlign w:val="center"/>
          </w:tcPr>
          <w:p w:rsidR="00243EA6" w:rsidRPr="00243EA6" w:rsidRDefault="00243EA6" w:rsidP="00243EA6">
            <w:pPr>
              <w:pStyle w:val="aff9"/>
              <w:ind w:firstLineChars="100" w:firstLine="220"/>
              <w:jc w:val="left"/>
              <w:rPr>
                <w:sz w:val="22"/>
              </w:rPr>
            </w:pPr>
            <w:r w:rsidRPr="00243EA6">
              <w:rPr>
                <w:rFonts w:hint="eastAsia"/>
                <w:sz w:val="22"/>
              </w:rPr>
              <w:t>氨基酸总量/（g/100</w:t>
            </w:r>
            <w:r w:rsidRPr="00243EA6">
              <w:rPr>
                <w:rFonts w:hint="eastAsia"/>
                <w:sz w:val="22"/>
                <w:vertAlign w:val="subscript"/>
              </w:rPr>
              <w:t xml:space="preserve"> </w:t>
            </w:r>
            <w:r w:rsidRPr="00243EA6">
              <w:rPr>
                <w:rFonts w:hint="eastAsia"/>
                <w:sz w:val="22"/>
              </w:rPr>
              <w:t xml:space="preserve">g）                            </w:t>
            </w:r>
          </w:p>
        </w:tc>
        <w:tc>
          <w:tcPr>
            <w:tcW w:w="281" w:type="dxa"/>
            <w:tcBorders>
              <w:top w:val="single" w:sz="4" w:space="0" w:color="auto"/>
              <w:left w:val="nil"/>
              <w:bottom w:val="single" w:sz="4" w:space="0" w:color="auto"/>
              <w:right w:val="single" w:sz="4" w:space="0" w:color="auto"/>
            </w:tcBorders>
            <w:shd w:val="clear" w:color="auto" w:fill="auto"/>
            <w:vAlign w:val="center"/>
          </w:tcPr>
          <w:p w:rsidR="00243EA6" w:rsidRPr="00243EA6" w:rsidRDefault="00243EA6" w:rsidP="00243EA6">
            <w:pPr>
              <w:pStyle w:val="aff9"/>
              <w:ind w:firstLine="640"/>
              <w:jc w:val="left"/>
              <w:rPr>
                <w:sz w:val="22"/>
              </w:rPr>
            </w:pPr>
            <w:r w:rsidRPr="00243EA6">
              <w:rPr>
                <w:rFonts w:hint="eastAsia"/>
                <w:sz w:val="22"/>
              </w:rPr>
              <w:t>≥</w:t>
            </w:r>
          </w:p>
        </w:tc>
        <w:tc>
          <w:tcPr>
            <w:tcW w:w="4196" w:type="dxa"/>
            <w:tcBorders>
              <w:left w:val="single" w:sz="4"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18.0</w:t>
            </w:r>
          </w:p>
        </w:tc>
      </w:tr>
      <w:tr w:rsidR="00243EA6" w:rsidRPr="00243EA6" w:rsidTr="00681C0C">
        <w:trPr>
          <w:trHeight w:val="624"/>
          <w:jc w:val="center"/>
        </w:trPr>
        <w:tc>
          <w:tcPr>
            <w:tcW w:w="4501" w:type="dxa"/>
            <w:tcBorders>
              <w:right w:val="nil"/>
            </w:tcBorders>
            <w:shd w:val="clear" w:color="auto" w:fill="auto"/>
            <w:vAlign w:val="center"/>
          </w:tcPr>
          <w:p w:rsidR="00243EA6" w:rsidRPr="00243EA6" w:rsidRDefault="00243EA6" w:rsidP="00243EA6">
            <w:pPr>
              <w:pStyle w:val="aff9"/>
              <w:ind w:firstLineChars="100" w:firstLine="220"/>
              <w:jc w:val="both"/>
              <w:rPr>
                <w:sz w:val="22"/>
              </w:rPr>
            </w:pPr>
            <w:r w:rsidRPr="00243EA6">
              <w:rPr>
                <w:rFonts w:hint="eastAsia"/>
                <w:sz w:val="22"/>
              </w:rPr>
              <w:t>水分/（g/100</w:t>
            </w:r>
            <w:r w:rsidRPr="00243EA6">
              <w:rPr>
                <w:rFonts w:hint="eastAsia"/>
                <w:sz w:val="22"/>
                <w:vertAlign w:val="subscript"/>
              </w:rPr>
              <w:t xml:space="preserve"> </w:t>
            </w:r>
            <w:r w:rsidRPr="00243EA6">
              <w:rPr>
                <w:rFonts w:hint="eastAsia"/>
                <w:sz w:val="22"/>
              </w:rPr>
              <w:t xml:space="preserve">g）                                  </w:t>
            </w:r>
          </w:p>
        </w:tc>
        <w:tc>
          <w:tcPr>
            <w:tcW w:w="281" w:type="dxa"/>
            <w:tcBorders>
              <w:top w:val="single" w:sz="4" w:space="0" w:color="auto"/>
              <w:left w:val="nil"/>
              <w:bottom w:val="single" w:sz="4" w:space="0" w:color="auto"/>
              <w:right w:val="single" w:sz="4" w:space="0" w:color="auto"/>
            </w:tcBorders>
            <w:shd w:val="clear" w:color="auto" w:fill="auto"/>
            <w:vAlign w:val="center"/>
          </w:tcPr>
          <w:p w:rsidR="00243EA6" w:rsidRPr="00243EA6" w:rsidRDefault="00243EA6" w:rsidP="00243EA6">
            <w:pPr>
              <w:pStyle w:val="aff9"/>
              <w:ind w:firstLine="640"/>
              <w:jc w:val="both"/>
              <w:rPr>
                <w:sz w:val="22"/>
              </w:rPr>
            </w:pPr>
            <w:r w:rsidRPr="00243EA6">
              <w:rPr>
                <w:rFonts w:hint="eastAsia"/>
                <w:sz w:val="22"/>
              </w:rPr>
              <w:t>≤</w:t>
            </w:r>
          </w:p>
        </w:tc>
        <w:tc>
          <w:tcPr>
            <w:tcW w:w="4196" w:type="dxa"/>
            <w:tcBorders>
              <w:left w:val="single" w:sz="4" w:space="0" w:color="auto"/>
            </w:tcBorders>
            <w:shd w:val="clear" w:color="auto" w:fill="auto"/>
            <w:vAlign w:val="center"/>
          </w:tcPr>
          <w:p w:rsidR="00243EA6" w:rsidRPr="00243EA6" w:rsidRDefault="00243EA6" w:rsidP="00243EA6">
            <w:pPr>
              <w:pStyle w:val="aff9"/>
              <w:ind w:firstLine="640"/>
              <w:rPr>
                <w:sz w:val="22"/>
              </w:rPr>
            </w:pPr>
            <w:r w:rsidRPr="00243EA6">
              <w:rPr>
                <w:rFonts w:hint="eastAsia"/>
                <w:sz w:val="22"/>
              </w:rPr>
              <w:t>77</w:t>
            </w:r>
          </w:p>
        </w:tc>
      </w:tr>
      <w:tr w:rsidR="00243EA6" w:rsidRPr="00243EA6" w:rsidTr="00681C0C">
        <w:trPr>
          <w:trHeight w:val="624"/>
          <w:jc w:val="center"/>
        </w:trPr>
        <w:tc>
          <w:tcPr>
            <w:tcW w:w="8978" w:type="dxa"/>
            <w:gridSpan w:val="3"/>
            <w:shd w:val="clear" w:color="auto" w:fill="auto"/>
            <w:vAlign w:val="center"/>
          </w:tcPr>
          <w:p w:rsidR="00243EA6" w:rsidRPr="00243EA6" w:rsidRDefault="00243EA6" w:rsidP="00243EA6">
            <w:pPr>
              <w:pStyle w:val="a1"/>
              <w:numPr>
                <w:ilvl w:val="0"/>
                <w:numId w:val="0"/>
              </w:numPr>
              <w:ind w:left="737" w:hanging="374"/>
              <w:rPr>
                <w:rFonts w:hint="default"/>
                <w:sz w:val="22"/>
              </w:rPr>
            </w:pPr>
            <w:r>
              <w:rPr>
                <w:sz w:val="22"/>
              </w:rPr>
              <w:t>注：</w:t>
            </w:r>
            <w:r w:rsidRPr="00243EA6">
              <w:rPr>
                <w:sz w:val="22"/>
              </w:rPr>
              <w:t>以上数据为环江菜牛里脊肉部位含量</w:t>
            </w:r>
          </w:p>
        </w:tc>
      </w:tr>
    </w:tbl>
    <w:p w:rsidR="002920CA" w:rsidRDefault="00DF169E">
      <w:pPr>
        <w:pStyle w:val="aff4"/>
        <w:numPr>
          <w:ilvl w:val="0"/>
          <w:numId w:val="19"/>
        </w:numPr>
        <w:autoSpaceDE w:val="0"/>
        <w:autoSpaceDN w:val="0"/>
        <w:adjustRightInd w:val="0"/>
        <w:spacing w:line="560" w:lineRule="exact"/>
        <w:ind w:firstLineChars="0"/>
        <w:jc w:val="left"/>
        <w:rPr>
          <w:rFonts w:ascii="黑体" w:eastAsia="黑体" w:hAnsi="黑体" w:cs="仿宋_GB2312"/>
          <w:szCs w:val="32"/>
        </w:rPr>
      </w:pPr>
      <w:r>
        <w:rPr>
          <w:rFonts w:ascii="黑体" w:eastAsia="黑体" w:hAnsi="黑体" w:cs="仿宋_GB2312" w:hint="eastAsia"/>
          <w:szCs w:val="32"/>
        </w:rPr>
        <w:t>检验方法</w:t>
      </w:r>
    </w:p>
    <w:p w:rsidR="002920CA" w:rsidRDefault="00DF169E">
      <w:pPr>
        <w:autoSpaceDE w:val="0"/>
        <w:autoSpaceDN w:val="0"/>
        <w:adjustRightInd w:val="0"/>
        <w:spacing w:line="560" w:lineRule="exact"/>
        <w:ind w:firstLine="640"/>
        <w:jc w:val="left"/>
        <w:rPr>
          <w:rFonts w:ascii="仿宋_GB2312" w:hAnsi="宋体"/>
          <w:bCs/>
          <w:szCs w:val="32"/>
        </w:rPr>
      </w:pPr>
      <w:r>
        <w:rPr>
          <w:rFonts w:ascii="仿宋_GB2312" w:hAnsi="宋体" w:hint="eastAsia"/>
          <w:bCs/>
          <w:szCs w:val="32"/>
        </w:rPr>
        <w:t>检验方法主要根据地理标志证明商标  环江菜牛的感官、理化指标、食品安全指标的要求，分别列出。并依据相应检验方法及相关检验标准执行。</w:t>
      </w:r>
    </w:p>
    <w:p w:rsidR="002920CA" w:rsidRDefault="00DF169E">
      <w:pPr>
        <w:pStyle w:val="aff4"/>
        <w:numPr>
          <w:ilvl w:val="0"/>
          <w:numId w:val="19"/>
        </w:numPr>
        <w:autoSpaceDE w:val="0"/>
        <w:autoSpaceDN w:val="0"/>
        <w:adjustRightInd w:val="0"/>
        <w:spacing w:line="560" w:lineRule="exact"/>
        <w:ind w:firstLineChars="0"/>
        <w:jc w:val="left"/>
        <w:rPr>
          <w:rFonts w:ascii="黑体" w:eastAsia="黑体" w:hAnsi="黑体" w:cs="仿宋_GB2312"/>
          <w:szCs w:val="32"/>
        </w:rPr>
      </w:pPr>
      <w:r>
        <w:rPr>
          <w:rFonts w:ascii="黑体" w:eastAsia="黑体" w:hAnsi="黑体" w:cs="仿宋_GB2312" w:hint="eastAsia"/>
          <w:szCs w:val="32"/>
        </w:rPr>
        <w:lastRenderedPageBreak/>
        <w:t>检验规则</w:t>
      </w:r>
    </w:p>
    <w:p w:rsidR="002920CA" w:rsidRDefault="00DF169E">
      <w:pPr>
        <w:pStyle w:val="aff4"/>
        <w:ind w:firstLine="640"/>
        <w:rPr>
          <w:szCs w:val="18"/>
        </w:rPr>
      </w:pPr>
      <w:r>
        <w:rPr>
          <w:rFonts w:hint="eastAsia"/>
          <w:szCs w:val="18"/>
        </w:rPr>
        <w:t>检验规则主要依据</w:t>
      </w:r>
      <w:r>
        <w:rPr>
          <w:rFonts w:ascii="仿宋_GB2312" w:hAnsi="宋体" w:hint="eastAsia"/>
          <w:bCs/>
          <w:szCs w:val="32"/>
        </w:rPr>
        <w:t>地理标志证明商标  环江菜牛的</w:t>
      </w:r>
      <w:r>
        <w:rPr>
          <w:rFonts w:hint="eastAsia"/>
          <w:szCs w:val="18"/>
        </w:rPr>
        <w:t>生产实际确定，包括组批、抽样、出厂检验及判定规则。</w:t>
      </w:r>
    </w:p>
    <w:p w:rsidR="002920CA" w:rsidRDefault="00DF169E">
      <w:pPr>
        <w:autoSpaceDE w:val="0"/>
        <w:autoSpaceDN w:val="0"/>
        <w:adjustRightInd w:val="0"/>
        <w:spacing w:line="560" w:lineRule="exact"/>
        <w:ind w:firstLineChars="0"/>
        <w:jc w:val="left"/>
        <w:rPr>
          <w:b/>
          <w:szCs w:val="18"/>
        </w:rPr>
      </w:pPr>
      <w:r>
        <w:rPr>
          <w:rFonts w:hint="eastAsia"/>
          <w:b/>
          <w:szCs w:val="18"/>
        </w:rPr>
        <w:t>（五）</w:t>
      </w:r>
      <w:bookmarkStart w:id="15" w:name="_Hlk203337606"/>
      <w:r>
        <w:rPr>
          <w:rFonts w:hint="eastAsia"/>
          <w:b/>
          <w:szCs w:val="18"/>
        </w:rPr>
        <w:t>标志、包装、运输和贮存</w:t>
      </w:r>
      <w:bookmarkEnd w:id="15"/>
    </w:p>
    <w:p w:rsidR="002920CA" w:rsidRDefault="00DF169E">
      <w:pPr>
        <w:autoSpaceDE w:val="0"/>
        <w:autoSpaceDN w:val="0"/>
        <w:adjustRightInd w:val="0"/>
        <w:spacing w:line="560" w:lineRule="exact"/>
        <w:ind w:firstLineChars="0"/>
        <w:jc w:val="left"/>
        <w:rPr>
          <w:rFonts w:ascii="黑体" w:eastAsia="黑体" w:hAnsi="黑体" w:cs="仿宋_GB2312"/>
          <w:szCs w:val="32"/>
        </w:rPr>
      </w:pPr>
      <w:r>
        <w:rPr>
          <w:rFonts w:hint="eastAsia"/>
          <w:szCs w:val="18"/>
        </w:rPr>
        <w:t>标志、包装、运输和贮存主要结合地理标志证明商标</w:t>
      </w:r>
      <w:r>
        <w:rPr>
          <w:rFonts w:hint="eastAsia"/>
          <w:szCs w:val="18"/>
        </w:rPr>
        <w:t xml:space="preserve">  </w:t>
      </w:r>
      <w:r>
        <w:rPr>
          <w:rFonts w:hint="eastAsia"/>
          <w:szCs w:val="18"/>
        </w:rPr>
        <w:t>环江菜牛生产实际和销售需求进行确定。</w:t>
      </w:r>
    </w:p>
    <w:p w:rsidR="002920CA" w:rsidRDefault="00DF16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8"/>
      <w:r>
        <w:rPr>
          <w:rFonts w:ascii="黑体" w:eastAsia="黑体" w:hAnsi="黑体" w:cs="仿宋_GB2312" w:hint="eastAsia"/>
          <w:szCs w:val="32"/>
        </w:rPr>
        <w:t>重大分歧意见的处理经过和依据</w:t>
      </w:r>
    </w:p>
    <w:p w:rsidR="002920CA" w:rsidRDefault="00DF169E">
      <w:pPr>
        <w:spacing w:line="560" w:lineRule="exact"/>
        <w:ind w:firstLine="640"/>
        <w:rPr>
          <w:rFonts w:ascii="仿宋_GB2312" w:hAnsi="宋体"/>
          <w:szCs w:val="28"/>
        </w:rPr>
      </w:pPr>
      <w:r>
        <w:rPr>
          <w:rFonts w:ascii="仿宋_GB2312" w:hAnsi="宋体" w:hint="eastAsia"/>
          <w:szCs w:val="28"/>
        </w:rPr>
        <w:t>本标准研制过程中无重大分歧意见。</w:t>
      </w:r>
    </w:p>
    <w:p w:rsidR="002920CA" w:rsidRDefault="00DF16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2920CA" w:rsidRDefault="00DF169E">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2920CA" w:rsidRDefault="00DF169E">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2920CA" w:rsidRDefault="00DF169E">
      <w:pPr>
        <w:spacing w:line="560" w:lineRule="exact"/>
        <w:ind w:firstLine="643"/>
        <w:rPr>
          <w:rFonts w:ascii="仿宋_GB2312" w:hAnsi="宋体"/>
          <w:b/>
          <w:szCs w:val="28"/>
        </w:rPr>
      </w:pPr>
      <w:r>
        <w:rPr>
          <w:rFonts w:ascii="仿宋_GB2312" w:hAnsi="宋体" w:hint="eastAsia"/>
          <w:b/>
          <w:szCs w:val="28"/>
        </w:rPr>
        <w:t>（二）组织开展标准宣贯培训</w:t>
      </w:r>
    </w:p>
    <w:p w:rsidR="002920CA" w:rsidRDefault="00DF169E">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rsidR="002920CA" w:rsidRDefault="00DF169E">
      <w:pPr>
        <w:spacing w:line="560" w:lineRule="exact"/>
        <w:ind w:firstLine="643"/>
        <w:rPr>
          <w:rFonts w:ascii="仿宋_GB2312" w:hAnsi="宋体"/>
          <w:b/>
          <w:szCs w:val="28"/>
        </w:rPr>
      </w:pPr>
      <w:r>
        <w:rPr>
          <w:rFonts w:ascii="仿宋_GB2312" w:hAnsi="宋体" w:hint="eastAsia"/>
          <w:b/>
          <w:szCs w:val="28"/>
        </w:rPr>
        <w:t>（三）开展标准实施交流会，收集标准实施反馈信息</w:t>
      </w:r>
    </w:p>
    <w:p w:rsidR="002920CA" w:rsidRDefault="00DF169E">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2920CA" w:rsidRDefault="00DF169E">
      <w:pPr>
        <w:spacing w:line="560" w:lineRule="exact"/>
        <w:ind w:firstLine="643"/>
        <w:rPr>
          <w:rFonts w:ascii="仿宋_GB2312" w:hAnsi="宋体"/>
          <w:b/>
          <w:szCs w:val="28"/>
        </w:rPr>
      </w:pPr>
      <w:r>
        <w:rPr>
          <w:rFonts w:ascii="仿宋_GB2312" w:hAnsi="宋体" w:hint="eastAsia"/>
          <w:b/>
          <w:szCs w:val="28"/>
        </w:rPr>
        <w:lastRenderedPageBreak/>
        <w:t>（四）开展标准实施效果评估</w:t>
      </w:r>
    </w:p>
    <w:p w:rsidR="002920CA" w:rsidRDefault="00DF169E">
      <w:pPr>
        <w:spacing w:line="56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2920CA" w:rsidRDefault="00DF16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2920CA" w:rsidRDefault="00DF169E">
      <w:pPr>
        <w:spacing w:line="560" w:lineRule="exact"/>
        <w:ind w:firstLine="640"/>
        <w:rPr>
          <w:rFonts w:ascii="仿宋_GB2312" w:hAnsi="宋体"/>
          <w:szCs w:val="28"/>
        </w:rPr>
      </w:pPr>
      <w:r>
        <w:rPr>
          <w:rFonts w:ascii="仿宋_GB2312" w:hAnsi="宋体" w:hint="eastAsia"/>
          <w:szCs w:val="28"/>
        </w:rPr>
        <w:t>无。</w:t>
      </w:r>
    </w:p>
    <w:p w:rsidR="002920CA" w:rsidRDefault="002920CA">
      <w:pPr>
        <w:spacing w:line="560" w:lineRule="exact"/>
        <w:ind w:firstLineChars="0" w:firstLine="0"/>
        <w:rPr>
          <w:rFonts w:ascii="仿宋_GB2312" w:hAnsi="仿宋"/>
          <w:bCs/>
          <w:color w:val="000000"/>
          <w:sz w:val="36"/>
          <w:szCs w:val="32"/>
        </w:rPr>
      </w:pPr>
    </w:p>
    <w:p w:rsidR="002920CA" w:rsidRDefault="002920CA">
      <w:pPr>
        <w:spacing w:line="560" w:lineRule="exact"/>
        <w:ind w:firstLineChars="0" w:firstLine="0"/>
        <w:rPr>
          <w:rFonts w:ascii="仿宋_GB2312" w:hAnsi="仿宋"/>
          <w:bCs/>
          <w:color w:val="000000"/>
          <w:sz w:val="36"/>
          <w:szCs w:val="32"/>
        </w:rPr>
      </w:pPr>
    </w:p>
    <w:p w:rsidR="002920CA" w:rsidRDefault="002920CA">
      <w:pPr>
        <w:spacing w:line="560" w:lineRule="exact"/>
        <w:ind w:firstLineChars="0" w:firstLine="0"/>
        <w:rPr>
          <w:rFonts w:ascii="仿宋_GB2312" w:hAnsi="仿宋"/>
          <w:bCs/>
          <w:color w:val="000000"/>
          <w:sz w:val="36"/>
          <w:szCs w:val="32"/>
        </w:rPr>
      </w:pPr>
    </w:p>
    <w:p w:rsidR="002920CA" w:rsidRDefault="00DF169E">
      <w:pPr>
        <w:spacing w:line="560" w:lineRule="exact"/>
        <w:ind w:firstLine="640"/>
        <w:jc w:val="right"/>
        <w:rPr>
          <w:rFonts w:ascii="仿宋_GB2312" w:hAnsi="宋体"/>
          <w:szCs w:val="28"/>
        </w:rPr>
      </w:pPr>
      <w:r>
        <w:rPr>
          <w:rFonts w:ascii="仿宋_GB2312" w:hAnsi="宋体" w:hint="eastAsia"/>
          <w:szCs w:val="28"/>
        </w:rPr>
        <w:t xml:space="preserve"> 团体标准《地理标志证明商标  环江菜牛》</w:t>
      </w:r>
    </w:p>
    <w:p w:rsidR="002920CA" w:rsidRDefault="00DF169E">
      <w:pPr>
        <w:spacing w:line="560" w:lineRule="exact"/>
        <w:ind w:firstLine="640"/>
        <w:jc w:val="right"/>
        <w:rPr>
          <w:rFonts w:ascii="仿宋_GB2312" w:hAnsi="宋体"/>
          <w:szCs w:val="28"/>
        </w:rPr>
      </w:pPr>
      <w:r>
        <w:rPr>
          <w:rFonts w:ascii="仿宋_GB2312" w:hAnsi="宋体" w:hint="eastAsia"/>
          <w:szCs w:val="28"/>
        </w:rPr>
        <w:t>标准编制工作组</w:t>
      </w:r>
    </w:p>
    <w:p w:rsidR="002920CA" w:rsidRDefault="00DF169E">
      <w:pPr>
        <w:spacing w:line="560" w:lineRule="exact"/>
        <w:ind w:firstLine="640"/>
        <w:jc w:val="right"/>
        <w:rPr>
          <w:rFonts w:ascii="仿宋_GB2312" w:hAnsi="宋体"/>
          <w:szCs w:val="28"/>
        </w:rPr>
      </w:pPr>
      <w:r>
        <w:rPr>
          <w:rFonts w:ascii="仿宋_GB2312" w:hAnsi="宋体" w:hint="eastAsia"/>
          <w:szCs w:val="28"/>
        </w:rPr>
        <w:t>2026年2月25日</w:t>
      </w:r>
    </w:p>
    <w:sectPr w:rsidR="002920CA">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2185" w:rsidRDefault="00252185">
      <w:pPr>
        <w:ind w:firstLine="640"/>
      </w:pPr>
      <w:r>
        <w:separator/>
      </w:r>
    </w:p>
  </w:endnote>
  <w:endnote w:type="continuationSeparator" w:id="0">
    <w:p w:rsidR="00252185" w:rsidRDefault="00252185">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Segoe UI">
    <w:panose1 w:val="020B0502040204020203"/>
    <w:charset w:val="00"/>
    <w:family w:val="swiss"/>
    <w:pitch w:val="variable"/>
    <w:sig w:usb0="E10022FF" w:usb1="C000E47F" w:usb2="00000029" w:usb3="00000000" w:csb0="000001DF"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roman"/>
    <w:pitch w:val="default"/>
    <w:sig w:usb0="00000000" w:usb1="0000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EA6" w:rsidRDefault="00243EA6">
    <w:pPr>
      <w:pStyle w:val="af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243EA6" w:rsidRDefault="00243EA6">
        <w:pPr>
          <w:pStyle w:val="af8"/>
          <w:ind w:firstLine="360"/>
          <w:jc w:val="center"/>
        </w:pPr>
        <w:r>
          <w:fldChar w:fldCharType="begin"/>
        </w:r>
        <w:r>
          <w:instrText>PAGE   \* MERGEFORMAT</w:instrText>
        </w:r>
        <w:r>
          <w:fldChar w:fldCharType="separate"/>
        </w:r>
        <w:r w:rsidR="009C4CAC" w:rsidRPr="009C4CAC">
          <w:rPr>
            <w:noProof/>
            <w:lang w:val="zh-CN"/>
          </w:rPr>
          <w:t>1</w:t>
        </w:r>
        <w:r>
          <w:fldChar w:fldCharType="end"/>
        </w:r>
      </w:p>
    </w:sdtContent>
  </w:sdt>
  <w:p w:rsidR="00243EA6" w:rsidRDefault="00243EA6">
    <w:pPr>
      <w:pStyle w:val="af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EA6" w:rsidRDefault="00243EA6">
    <w:pPr>
      <w:pStyle w:val="af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2185" w:rsidRDefault="00252185">
      <w:pPr>
        <w:ind w:firstLine="640"/>
      </w:pPr>
      <w:r>
        <w:separator/>
      </w:r>
    </w:p>
  </w:footnote>
  <w:footnote w:type="continuationSeparator" w:id="0">
    <w:p w:rsidR="00252185" w:rsidRDefault="00252185">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EA6" w:rsidRDefault="00243EA6">
    <w:pPr>
      <w:pStyle w:val="af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EA6" w:rsidRDefault="00243EA6">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EA6" w:rsidRDefault="00243EA6">
    <w:pPr>
      <w:pStyle w:val="af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47F0FBE"/>
    <w:multiLevelType w:val="multilevel"/>
    <w:tmpl w:val="147F0FBE"/>
    <w:lvl w:ilvl="0">
      <w:start w:val="1"/>
      <w:numFmt w:val="decimal"/>
      <w:lvlText w:val="（%1）"/>
      <w:lvlJc w:val="left"/>
      <w:pPr>
        <w:ind w:left="1720" w:hanging="1080"/>
      </w:pPr>
      <w:rPr>
        <w:rFonts w:hint="default"/>
      </w:rPr>
    </w:lvl>
    <w:lvl w:ilvl="1">
      <w:start w:val="1"/>
      <w:numFmt w:val="lowerLetter"/>
      <w:lvlText w:val="%2)"/>
      <w:lvlJc w:val="left"/>
      <w:pPr>
        <w:ind w:left="1520" w:hanging="440"/>
      </w:pPr>
    </w:lvl>
    <w:lvl w:ilvl="2">
      <w:start w:val="1"/>
      <w:numFmt w:val="lowerRoman"/>
      <w:lvlText w:val="%3."/>
      <w:lvlJc w:val="right"/>
      <w:pPr>
        <w:ind w:left="1960" w:hanging="440"/>
      </w:pPr>
    </w:lvl>
    <w:lvl w:ilvl="3">
      <w:start w:val="1"/>
      <w:numFmt w:val="decimal"/>
      <w:lvlText w:val="%4."/>
      <w:lvlJc w:val="left"/>
      <w:pPr>
        <w:ind w:left="2400" w:hanging="440"/>
      </w:pPr>
    </w:lvl>
    <w:lvl w:ilvl="4">
      <w:start w:val="1"/>
      <w:numFmt w:val="lowerLetter"/>
      <w:lvlText w:val="%5)"/>
      <w:lvlJc w:val="left"/>
      <w:pPr>
        <w:ind w:left="2840" w:hanging="440"/>
      </w:pPr>
    </w:lvl>
    <w:lvl w:ilvl="5">
      <w:start w:val="1"/>
      <w:numFmt w:val="lowerRoman"/>
      <w:lvlText w:val="%6."/>
      <w:lvlJc w:val="right"/>
      <w:pPr>
        <w:ind w:left="3280" w:hanging="440"/>
      </w:pPr>
    </w:lvl>
    <w:lvl w:ilvl="6">
      <w:start w:val="1"/>
      <w:numFmt w:val="decimal"/>
      <w:lvlText w:val="%7."/>
      <w:lvlJc w:val="left"/>
      <w:pPr>
        <w:ind w:left="3720" w:hanging="440"/>
      </w:pPr>
    </w:lvl>
    <w:lvl w:ilvl="7">
      <w:start w:val="1"/>
      <w:numFmt w:val="lowerLetter"/>
      <w:lvlText w:val="%8)"/>
      <w:lvlJc w:val="left"/>
      <w:pPr>
        <w:ind w:left="4160" w:hanging="440"/>
      </w:pPr>
    </w:lvl>
    <w:lvl w:ilvl="8">
      <w:start w:val="1"/>
      <w:numFmt w:val="lowerRoman"/>
      <w:lvlText w:val="%9."/>
      <w:lvlJc w:val="right"/>
      <w:pPr>
        <w:ind w:left="4600" w:hanging="440"/>
      </w:pPr>
    </w:lvl>
  </w:abstractNum>
  <w:abstractNum w:abstractNumId="7">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8">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9">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nsid w:val="2603752E"/>
    <w:multiLevelType w:val="multilevel"/>
    <w:tmpl w:val="2603752E"/>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11">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2">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3">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4">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5">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6">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7">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8">
    <w:nsid w:val="6DBF04F4"/>
    <w:multiLevelType w:val="multilevel"/>
    <w:tmpl w:val="6DBF04F4"/>
    <w:lvl w:ilvl="0">
      <w:start w:val="1"/>
      <w:numFmt w:val="none"/>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9">
    <w:nsid w:val="702F0B72"/>
    <w:multiLevelType w:val="multilevel"/>
    <w:tmpl w:val="702F0B72"/>
    <w:lvl w:ilvl="0">
      <w:start w:val="1"/>
      <w:numFmt w:val="decimal"/>
      <w:lvlText w:val="%1、"/>
      <w:lvlJc w:val="left"/>
      <w:pPr>
        <w:ind w:left="1360" w:hanging="720"/>
      </w:pPr>
      <w:rPr>
        <w:rFonts w:hint="default"/>
      </w:rPr>
    </w:lvl>
    <w:lvl w:ilvl="1">
      <w:start w:val="1"/>
      <w:numFmt w:val="lowerLetter"/>
      <w:lvlText w:val="%2)"/>
      <w:lvlJc w:val="left"/>
      <w:pPr>
        <w:ind w:left="1520" w:hanging="440"/>
      </w:pPr>
    </w:lvl>
    <w:lvl w:ilvl="2">
      <w:start w:val="1"/>
      <w:numFmt w:val="lowerRoman"/>
      <w:lvlText w:val="%3."/>
      <w:lvlJc w:val="right"/>
      <w:pPr>
        <w:ind w:left="1960" w:hanging="440"/>
      </w:pPr>
    </w:lvl>
    <w:lvl w:ilvl="3">
      <w:start w:val="1"/>
      <w:numFmt w:val="decimal"/>
      <w:lvlText w:val="%4."/>
      <w:lvlJc w:val="left"/>
      <w:pPr>
        <w:ind w:left="2400" w:hanging="440"/>
      </w:pPr>
    </w:lvl>
    <w:lvl w:ilvl="4">
      <w:start w:val="1"/>
      <w:numFmt w:val="lowerLetter"/>
      <w:lvlText w:val="%5)"/>
      <w:lvlJc w:val="left"/>
      <w:pPr>
        <w:ind w:left="2840" w:hanging="440"/>
      </w:pPr>
    </w:lvl>
    <w:lvl w:ilvl="5">
      <w:start w:val="1"/>
      <w:numFmt w:val="lowerRoman"/>
      <w:lvlText w:val="%6."/>
      <w:lvlJc w:val="right"/>
      <w:pPr>
        <w:ind w:left="3280" w:hanging="440"/>
      </w:pPr>
    </w:lvl>
    <w:lvl w:ilvl="6">
      <w:start w:val="1"/>
      <w:numFmt w:val="decimal"/>
      <w:lvlText w:val="%7."/>
      <w:lvlJc w:val="left"/>
      <w:pPr>
        <w:ind w:left="3720" w:hanging="440"/>
      </w:pPr>
    </w:lvl>
    <w:lvl w:ilvl="7">
      <w:start w:val="1"/>
      <w:numFmt w:val="lowerLetter"/>
      <w:lvlText w:val="%8)"/>
      <w:lvlJc w:val="left"/>
      <w:pPr>
        <w:ind w:left="4160" w:hanging="440"/>
      </w:pPr>
    </w:lvl>
    <w:lvl w:ilvl="8">
      <w:start w:val="1"/>
      <w:numFmt w:val="lowerRoman"/>
      <w:lvlText w:val="%9."/>
      <w:lvlJc w:val="right"/>
      <w:pPr>
        <w:ind w:left="4600" w:hanging="440"/>
      </w:pPr>
    </w:lvl>
  </w:abstractNum>
  <w:num w:numId="1">
    <w:abstractNumId w:val="16"/>
  </w:num>
  <w:num w:numId="2">
    <w:abstractNumId w:val="13"/>
  </w:num>
  <w:num w:numId="3">
    <w:abstractNumId w:val="9"/>
  </w:num>
  <w:num w:numId="4">
    <w:abstractNumId w:val="4"/>
  </w:num>
  <w:num w:numId="5">
    <w:abstractNumId w:val="11"/>
  </w:num>
  <w:num w:numId="6">
    <w:abstractNumId w:val="8"/>
  </w:num>
  <w:num w:numId="7">
    <w:abstractNumId w:val="5"/>
  </w:num>
  <w:num w:numId="8">
    <w:abstractNumId w:val="15"/>
  </w:num>
  <w:num w:numId="9">
    <w:abstractNumId w:val="3"/>
  </w:num>
  <w:num w:numId="10">
    <w:abstractNumId w:val="17"/>
  </w:num>
  <w:num w:numId="11">
    <w:abstractNumId w:val="12"/>
  </w:num>
  <w:num w:numId="12">
    <w:abstractNumId w:val="14"/>
  </w:num>
  <w:num w:numId="13">
    <w:abstractNumId w:val="1"/>
  </w:num>
  <w:num w:numId="14">
    <w:abstractNumId w:val="7"/>
  </w:num>
  <w:num w:numId="15">
    <w:abstractNumId w:val="0"/>
  </w:num>
  <w:num w:numId="16">
    <w:abstractNumId w:val="2"/>
  </w:num>
  <w:num w:numId="17">
    <w:abstractNumId w:val="19"/>
  </w:num>
  <w:num w:numId="18">
    <w:abstractNumId w:val="6"/>
  </w:num>
  <w:num w:numId="19">
    <w:abstractNumId w:val="10"/>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6837"/>
    <w:rsid w:val="00021331"/>
    <w:rsid w:val="00022461"/>
    <w:rsid w:val="00023119"/>
    <w:rsid w:val="00023EC0"/>
    <w:rsid w:val="00023FE2"/>
    <w:rsid w:val="00024212"/>
    <w:rsid w:val="00024664"/>
    <w:rsid w:val="00032CD6"/>
    <w:rsid w:val="00033257"/>
    <w:rsid w:val="00034233"/>
    <w:rsid w:val="00034BDB"/>
    <w:rsid w:val="00047D7B"/>
    <w:rsid w:val="00053B0B"/>
    <w:rsid w:val="00056C7D"/>
    <w:rsid w:val="000576D0"/>
    <w:rsid w:val="00057758"/>
    <w:rsid w:val="00060FE2"/>
    <w:rsid w:val="00061828"/>
    <w:rsid w:val="00070C25"/>
    <w:rsid w:val="0007330D"/>
    <w:rsid w:val="00073F72"/>
    <w:rsid w:val="00074EB1"/>
    <w:rsid w:val="00075FBA"/>
    <w:rsid w:val="00076BBA"/>
    <w:rsid w:val="00080F2F"/>
    <w:rsid w:val="0008145A"/>
    <w:rsid w:val="000832ED"/>
    <w:rsid w:val="000867E8"/>
    <w:rsid w:val="0009177A"/>
    <w:rsid w:val="0009191C"/>
    <w:rsid w:val="00093E74"/>
    <w:rsid w:val="000962F6"/>
    <w:rsid w:val="000A0201"/>
    <w:rsid w:val="000A1EAE"/>
    <w:rsid w:val="000A3070"/>
    <w:rsid w:val="000A4601"/>
    <w:rsid w:val="000A77CD"/>
    <w:rsid w:val="000B572A"/>
    <w:rsid w:val="000C131A"/>
    <w:rsid w:val="000D0ACE"/>
    <w:rsid w:val="000D15BE"/>
    <w:rsid w:val="000D5AC8"/>
    <w:rsid w:val="000D6612"/>
    <w:rsid w:val="000D751C"/>
    <w:rsid w:val="000D7F33"/>
    <w:rsid w:val="000F10EB"/>
    <w:rsid w:val="000F3365"/>
    <w:rsid w:val="000F517A"/>
    <w:rsid w:val="000F720A"/>
    <w:rsid w:val="001012D5"/>
    <w:rsid w:val="00101D2E"/>
    <w:rsid w:val="00103B83"/>
    <w:rsid w:val="00105252"/>
    <w:rsid w:val="001062E3"/>
    <w:rsid w:val="00106661"/>
    <w:rsid w:val="0010769F"/>
    <w:rsid w:val="00110864"/>
    <w:rsid w:val="00110F43"/>
    <w:rsid w:val="00112415"/>
    <w:rsid w:val="00113B53"/>
    <w:rsid w:val="00114946"/>
    <w:rsid w:val="001159DB"/>
    <w:rsid w:val="00122573"/>
    <w:rsid w:val="00124F56"/>
    <w:rsid w:val="00126CA6"/>
    <w:rsid w:val="001273E7"/>
    <w:rsid w:val="00127EB0"/>
    <w:rsid w:val="00130510"/>
    <w:rsid w:val="00131B03"/>
    <w:rsid w:val="00132C5F"/>
    <w:rsid w:val="00133786"/>
    <w:rsid w:val="00134DD4"/>
    <w:rsid w:val="00134FC2"/>
    <w:rsid w:val="001435D3"/>
    <w:rsid w:val="001449B5"/>
    <w:rsid w:val="001463AC"/>
    <w:rsid w:val="00151076"/>
    <w:rsid w:val="0015152A"/>
    <w:rsid w:val="00153B09"/>
    <w:rsid w:val="0015524E"/>
    <w:rsid w:val="00156020"/>
    <w:rsid w:val="00156663"/>
    <w:rsid w:val="001611BB"/>
    <w:rsid w:val="0016153F"/>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6961"/>
    <w:rsid w:val="00196B3D"/>
    <w:rsid w:val="0019711F"/>
    <w:rsid w:val="001A0DBF"/>
    <w:rsid w:val="001A3402"/>
    <w:rsid w:val="001B0E92"/>
    <w:rsid w:val="001B2E07"/>
    <w:rsid w:val="001B36E5"/>
    <w:rsid w:val="001B3B17"/>
    <w:rsid w:val="001C5F01"/>
    <w:rsid w:val="001C793C"/>
    <w:rsid w:val="001D22F0"/>
    <w:rsid w:val="001D31AE"/>
    <w:rsid w:val="001D64DB"/>
    <w:rsid w:val="001D7816"/>
    <w:rsid w:val="001E4AF3"/>
    <w:rsid w:val="001E5000"/>
    <w:rsid w:val="001F045F"/>
    <w:rsid w:val="001F07A8"/>
    <w:rsid w:val="001F16E6"/>
    <w:rsid w:val="001F241E"/>
    <w:rsid w:val="001F422B"/>
    <w:rsid w:val="001F537A"/>
    <w:rsid w:val="001F660A"/>
    <w:rsid w:val="001F79F5"/>
    <w:rsid w:val="001F7E35"/>
    <w:rsid w:val="00205603"/>
    <w:rsid w:val="00207045"/>
    <w:rsid w:val="00210916"/>
    <w:rsid w:val="002116FB"/>
    <w:rsid w:val="00214221"/>
    <w:rsid w:val="00217683"/>
    <w:rsid w:val="002223DD"/>
    <w:rsid w:val="002231E8"/>
    <w:rsid w:val="00223EB7"/>
    <w:rsid w:val="0022453A"/>
    <w:rsid w:val="00224EB8"/>
    <w:rsid w:val="0022762C"/>
    <w:rsid w:val="00231E62"/>
    <w:rsid w:val="00232769"/>
    <w:rsid w:val="00243EA6"/>
    <w:rsid w:val="00244ADA"/>
    <w:rsid w:val="00244C0C"/>
    <w:rsid w:val="002465C7"/>
    <w:rsid w:val="00252185"/>
    <w:rsid w:val="002526F3"/>
    <w:rsid w:val="00253EC8"/>
    <w:rsid w:val="00254F7A"/>
    <w:rsid w:val="00256FE0"/>
    <w:rsid w:val="00257961"/>
    <w:rsid w:val="002614C6"/>
    <w:rsid w:val="002621E1"/>
    <w:rsid w:val="00262753"/>
    <w:rsid w:val="00262771"/>
    <w:rsid w:val="00262F6C"/>
    <w:rsid w:val="00263DD4"/>
    <w:rsid w:val="00264A7D"/>
    <w:rsid w:val="00264CE4"/>
    <w:rsid w:val="002651A9"/>
    <w:rsid w:val="00266090"/>
    <w:rsid w:val="00270BF7"/>
    <w:rsid w:val="0027235B"/>
    <w:rsid w:val="00276DBC"/>
    <w:rsid w:val="00277C35"/>
    <w:rsid w:val="00283085"/>
    <w:rsid w:val="00283E25"/>
    <w:rsid w:val="0029084D"/>
    <w:rsid w:val="00291D7F"/>
    <w:rsid w:val="00291EF3"/>
    <w:rsid w:val="002920CA"/>
    <w:rsid w:val="002952AC"/>
    <w:rsid w:val="00297348"/>
    <w:rsid w:val="002A0A87"/>
    <w:rsid w:val="002A2FCF"/>
    <w:rsid w:val="002A4D06"/>
    <w:rsid w:val="002A5D80"/>
    <w:rsid w:val="002B07E3"/>
    <w:rsid w:val="002B23AB"/>
    <w:rsid w:val="002B2E35"/>
    <w:rsid w:val="002B3D69"/>
    <w:rsid w:val="002B5497"/>
    <w:rsid w:val="002C1D2A"/>
    <w:rsid w:val="002C4618"/>
    <w:rsid w:val="002C4FFB"/>
    <w:rsid w:val="002C5534"/>
    <w:rsid w:val="002C611B"/>
    <w:rsid w:val="002C73B6"/>
    <w:rsid w:val="002D2662"/>
    <w:rsid w:val="002D3147"/>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03C4"/>
    <w:rsid w:val="00311AEE"/>
    <w:rsid w:val="003144B8"/>
    <w:rsid w:val="00314640"/>
    <w:rsid w:val="00327623"/>
    <w:rsid w:val="0033375C"/>
    <w:rsid w:val="003356CC"/>
    <w:rsid w:val="00335910"/>
    <w:rsid w:val="0034090F"/>
    <w:rsid w:val="00343C24"/>
    <w:rsid w:val="00345BCC"/>
    <w:rsid w:val="00350218"/>
    <w:rsid w:val="00351BDC"/>
    <w:rsid w:val="00352D8D"/>
    <w:rsid w:val="00353735"/>
    <w:rsid w:val="00354D06"/>
    <w:rsid w:val="003562DC"/>
    <w:rsid w:val="00356D19"/>
    <w:rsid w:val="00357A1D"/>
    <w:rsid w:val="00357E18"/>
    <w:rsid w:val="0036001E"/>
    <w:rsid w:val="00360952"/>
    <w:rsid w:val="003620B6"/>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C74"/>
    <w:rsid w:val="003C2D44"/>
    <w:rsid w:val="003C483D"/>
    <w:rsid w:val="003D3AF0"/>
    <w:rsid w:val="003D48B6"/>
    <w:rsid w:val="003D5002"/>
    <w:rsid w:val="003D51D0"/>
    <w:rsid w:val="003D5CB5"/>
    <w:rsid w:val="003D6E58"/>
    <w:rsid w:val="003E330B"/>
    <w:rsid w:val="003E4A86"/>
    <w:rsid w:val="003F284D"/>
    <w:rsid w:val="003F28D0"/>
    <w:rsid w:val="003F2FF1"/>
    <w:rsid w:val="003F3119"/>
    <w:rsid w:val="003F392A"/>
    <w:rsid w:val="003F3AAC"/>
    <w:rsid w:val="003F727B"/>
    <w:rsid w:val="003F7F0C"/>
    <w:rsid w:val="0040035D"/>
    <w:rsid w:val="00403F64"/>
    <w:rsid w:val="00404BD1"/>
    <w:rsid w:val="004050BE"/>
    <w:rsid w:val="0040610D"/>
    <w:rsid w:val="00406A80"/>
    <w:rsid w:val="00415729"/>
    <w:rsid w:val="004158CF"/>
    <w:rsid w:val="0042062E"/>
    <w:rsid w:val="00424AF1"/>
    <w:rsid w:val="00424FCB"/>
    <w:rsid w:val="00425860"/>
    <w:rsid w:val="004262EA"/>
    <w:rsid w:val="00427B81"/>
    <w:rsid w:val="00434E46"/>
    <w:rsid w:val="00434F90"/>
    <w:rsid w:val="004378E4"/>
    <w:rsid w:val="0044118D"/>
    <w:rsid w:val="004441BD"/>
    <w:rsid w:val="004503F4"/>
    <w:rsid w:val="0045483D"/>
    <w:rsid w:val="00455661"/>
    <w:rsid w:val="0046025A"/>
    <w:rsid w:val="00460359"/>
    <w:rsid w:val="004605D8"/>
    <w:rsid w:val="004626AF"/>
    <w:rsid w:val="00462BA6"/>
    <w:rsid w:val="00465230"/>
    <w:rsid w:val="00465CC4"/>
    <w:rsid w:val="00467DEF"/>
    <w:rsid w:val="00467DFC"/>
    <w:rsid w:val="004715D8"/>
    <w:rsid w:val="00475C51"/>
    <w:rsid w:val="004805D0"/>
    <w:rsid w:val="00480BA1"/>
    <w:rsid w:val="00481328"/>
    <w:rsid w:val="004814A9"/>
    <w:rsid w:val="0048357F"/>
    <w:rsid w:val="00484EF3"/>
    <w:rsid w:val="00485212"/>
    <w:rsid w:val="004865C9"/>
    <w:rsid w:val="0049011A"/>
    <w:rsid w:val="00491FE3"/>
    <w:rsid w:val="0049241F"/>
    <w:rsid w:val="0049390C"/>
    <w:rsid w:val="004A25C4"/>
    <w:rsid w:val="004A26D4"/>
    <w:rsid w:val="004A2878"/>
    <w:rsid w:val="004A614E"/>
    <w:rsid w:val="004A660C"/>
    <w:rsid w:val="004A76AB"/>
    <w:rsid w:val="004B2E7F"/>
    <w:rsid w:val="004B31EC"/>
    <w:rsid w:val="004C4136"/>
    <w:rsid w:val="004D137B"/>
    <w:rsid w:val="004D155D"/>
    <w:rsid w:val="004D2302"/>
    <w:rsid w:val="004D393C"/>
    <w:rsid w:val="004D5B22"/>
    <w:rsid w:val="004E3026"/>
    <w:rsid w:val="004F0593"/>
    <w:rsid w:val="004F48C2"/>
    <w:rsid w:val="004F74F0"/>
    <w:rsid w:val="004F7FA9"/>
    <w:rsid w:val="005009D1"/>
    <w:rsid w:val="0050156A"/>
    <w:rsid w:val="00505469"/>
    <w:rsid w:val="005066ED"/>
    <w:rsid w:val="005067C2"/>
    <w:rsid w:val="0051028F"/>
    <w:rsid w:val="0051148B"/>
    <w:rsid w:val="00512AEC"/>
    <w:rsid w:val="00513080"/>
    <w:rsid w:val="00514C97"/>
    <w:rsid w:val="005159F5"/>
    <w:rsid w:val="00516AFA"/>
    <w:rsid w:val="00526200"/>
    <w:rsid w:val="005269CF"/>
    <w:rsid w:val="00533886"/>
    <w:rsid w:val="0053418A"/>
    <w:rsid w:val="00535AC6"/>
    <w:rsid w:val="00537550"/>
    <w:rsid w:val="00541E4A"/>
    <w:rsid w:val="0054317B"/>
    <w:rsid w:val="00544394"/>
    <w:rsid w:val="00546DEA"/>
    <w:rsid w:val="005500AC"/>
    <w:rsid w:val="00550145"/>
    <w:rsid w:val="005639F8"/>
    <w:rsid w:val="005656AA"/>
    <w:rsid w:val="005742DB"/>
    <w:rsid w:val="00577C08"/>
    <w:rsid w:val="005802BD"/>
    <w:rsid w:val="0058151C"/>
    <w:rsid w:val="00581CE7"/>
    <w:rsid w:val="00582F5C"/>
    <w:rsid w:val="0058472C"/>
    <w:rsid w:val="005870E5"/>
    <w:rsid w:val="005873D6"/>
    <w:rsid w:val="005876DE"/>
    <w:rsid w:val="00593466"/>
    <w:rsid w:val="00596702"/>
    <w:rsid w:val="005977DE"/>
    <w:rsid w:val="005A1A17"/>
    <w:rsid w:val="005A4523"/>
    <w:rsid w:val="005A4707"/>
    <w:rsid w:val="005A62FF"/>
    <w:rsid w:val="005B0CDC"/>
    <w:rsid w:val="005B2261"/>
    <w:rsid w:val="005B23F7"/>
    <w:rsid w:val="005B6904"/>
    <w:rsid w:val="005B7128"/>
    <w:rsid w:val="005B76D5"/>
    <w:rsid w:val="005B7B7E"/>
    <w:rsid w:val="005C468E"/>
    <w:rsid w:val="005C7917"/>
    <w:rsid w:val="005D06D6"/>
    <w:rsid w:val="005D1EE1"/>
    <w:rsid w:val="005D2762"/>
    <w:rsid w:val="005D2AEE"/>
    <w:rsid w:val="005D3F96"/>
    <w:rsid w:val="005D5DDF"/>
    <w:rsid w:val="005D6A5C"/>
    <w:rsid w:val="005E05D4"/>
    <w:rsid w:val="005E207A"/>
    <w:rsid w:val="005E2143"/>
    <w:rsid w:val="005F0995"/>
    <w:rsid w:val="005F1E35"/>
    <w:rsid w:val="005F36D9"/>
    <w:rsid w:val="005F4CE9"/>
    <w:rsid w:val="005F4F92"/>
    <w:rsid w:val="005F5B8A"/>
    <w:rsid w:val="005F6C71"/>
    <w:rsid w:val="005F71EC"/>
    <w:rsid w:val="005F7613"/>
    <w:rsid w:val="00602924"/>
    <w:rsid w:val="006038B2"/>
    <w:rsid w:val="006062AE"/>
    <w:rsid w:val="0060656D"/>
    <w:rsid w:val="00606667"/>
    <w:rsid w:val="00606B5A"/>
    <w:rsid w:val="00610884"/>
    <w:rsid w:val="00614347"/>
    <w:rsid w:val="006147DA"/>
    <w:rsid w:val="0062702A"/>
    <w:rsid w:val="006307CA"/>
    <w:rsid w:val="00636DF8"/>
    <w:rsid w:val="006404F1"/>
    <w:rsid w:val="0064449B"/>
    <w:rsid w:val="00644EED"/>
    <w:rsid w:val="006467C4"/>
    <w:rsid w:val="00651C9C"/>
    <w:rsid w:val="00654D8C"/>
    <w:rsid w:val="006555D8"/>
    <w:rsid w:val="00655638"/>
    <w:rsid w:val="006610FC"/>
    <w:rsid w:val="00664272"/>
    <w:rsid w:val="0066440C"/>
    <w:rsid w:val="00664832"/>
    <w:rsid w:val="006670DB"/>
    <w:rsid w:val="00667C57"/>
    <w:rsid w:val="00671FE3"/>
    <w:rsid w:val="0067586A"/>
    <w:rsid w:val="00680EEB"/>
    <w:rsid w:val="006811BF"/>
    <w:rsid w:val="00681C0C"/>
    <w:rsid w:val="00681C0F"/>
    <w:rsid w:val="00682D7C"/>
    <w:rsid w:val="00682FAD"/>
    <w:rsid w:val="0068494D"/>
    <w:rsid w:val="00690D6C"/>
    <w:rsid w:val="006945D3"/>
    <w:rsid w:val="006A1BD7"/>
    <w:rsid w:val="006A2383"/>
    <w:rsid w:val="006A3112"/>
    <w:rsid w:val="006A5054"/>
    <w:rsid w:val="006B1080"/>
    <w:rsid w:val="006B2092"/>
    <w:rsid w:val="006B6EA3"/>
    <w:rsid w:val="006C0CC1"/>
    <w:rsid w:val="006C6B87"/>
    <w:rsid w:val="006C70ED"/>
    <w:rsid w:val="006D0354"/>
    <w:rsid w:val="006D4B56"/>
    <w:rsid w:val="006D4CCC"/>
    <w:rsid w:val="006D50EC"/>
    <w:rsid w:val="006D5788"/>
    <w:rsid w:val="006D5D5F"/>
    <w:rsid w:val="006E155C"/>
    <w:rsid w:val="006E65EC"/>
    <w:rsid w:val="006E7520"/>
    <w:rsid w:val="006F03ED"/>
    <w:rsid w:val="006F4C12"/>
    <w:rsid w:val="006F67E6"/>
    <w:rsid w:val="006F6D28"/>
    <w:rsid w:val="006F77F7"/>
    <w:rsid w:val="00700D32"/>
    <w:rsid w:val="0070138D"/>
    <w:rsid w:val="00701A2B"/>
    <w:rsid w:val="0070266E"/>
    <w:rsid w:val="00705429"/>
    <w:rsid w:val="00705F4C"/>
    <w:rsid w:val="0070730B"/>
    <w:rsid w:val="00712BC5"/>
    <w:rsid w:val="00715CA4"/>
    <w:rsid w:val="00716EAC"/>
    <w:rsid w:val="007171A4"/>
    <w:rsid w:val="00720395"/>
    <w:rsid w:val="00722AAE"/>
    <w:rsid w:val="0072448B"/>
    <w:rsid w:val="007245EF"/>
    <w:rsid w:val="00726016"/>
    <w:rsid w:val="00726F82"/>
    <w:rsid w:val="00727525"/>
    <w:rsid w:val="00735B90"/>
    <w:rsid w:val="007432F4"/>
    <w:rsid w:val="0075401E"/>
    <w:rsid w:val="00755471"/>
    <w:rsid w:val="007556A8"/>
    <w:rsid w:val="00756686"/>
    <w:rsid w:val="00760DDA"/>
    <w:rsid w:val="00760FBD"/>
    <w:rsid w:val="00774780"/>
    <w:rsid w:val="007768A2"/>
    <w:rsid w:val="00776FE6"/>
    <w:rsid w:val="007812EA"/>
    <w:rsid w:val="00781F1A"/>
    <w:rsid w:val="00782C84"/>
    <w:rsid w:val="00784D8F"/>
    <w:rsid w:val="007912E9"/>
    <w:rsid w:val="007923BD"/>
    <w:rsid w:val="00793820"/>
    <w:rsid w:val="00794DE3"/>
    <w:rsid w:val="00794F9D"/>
    <w:rsid w:val="00797654"/>
    <w:rsid w:val="00797B14"/>
    <w:rsid w:val="007A022B"/>
    <w:rsid w:val="007A1A73"/>
    <w:rsid w:val="007A36E9"/>
    <w:rsid w:val="007A4FEA"/>
    <w:rsid w:val="007A5B26"/>
    <w:rsid w:val="007A710B"/>
    <w:rsid w:val="007B0B70"/>
    <w:rsid w:val="007B317A"/>
    <w:rsid w:val="007B36A5"/>
    <w:rsid w:val="007B4614"/>
    <w:rsid w:val="007B7812"/>
    <w:rsid w:val="007C11E0"/>
    <w:rsid w:val="007C3308"/>
    <w:rsid w:val="007C4C1F"/>
    <w:rsid w:val="007D1773"/>
    <w:rsid w:val="007D1AD1"/>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19FB"/>
    <w:rsid w:val="0080414C"/>
    <w:rsid w:val="00805B1A"/>
    <w:rsid w:val="00812666"/>
    <w:rsid w:val="00816354"/>
    <w:rsid w:val="008166B9"/>
    <w:rsid w:val="00823734"/>
    <w:rsid w:val="00825BEF"/>
    <w:rsid w:val="00826AFA"/>
    <w:rsid w:val="008275DE"/>
    <w:rsid w:val="0083025F"/>
    <w:rsid w:val="00831A4E"/>
    <w:rsid w:val="00832235"/>
    <w:rsid w:val="008326FC"/>
    <w:rsid w:val="00834158"/>
    <w:rsid w:val="00834F29"/>
    <w:rsid w:val="00837133"/>
    <w:rsid w:val="00841FDD"/>
    <w:rsid w:val="00843099"/>
    <w:rsid w:val="00844A63"/>
    <w:rsid w:val="008454D3"/>
    <w:rsid w:val="00845B6B"/>
    <w:rsid w:val="00852FD5"/>
    <w:rsid w:val="0085555C"/>
    <w:rsid w:val="0085722C"/>
    <w:rsid w:val="00860076"/>
    <w:rsid w:val="00864B42"/>
    <w:rsid w:val="00864EDC"/>
    <w:rsid w:val="008717FD"/>
    <w:rsid w:val="00872085"/>
    <w:rsid w:val="0087311E"/>
    <w:rsid w:val="008766A7"/>
    <w:rsid w:val="0088023F"/>
    <w:rsid w:val="00881D70"/>
    <w:rsid w:val="00883636"/>
    <w:rsid w:val="00884AB2"/>
    <w:rsid w:val="008853E8"/>
    <w:rsid w:val="00890905"/>
    <w:rsid w:val="00890B67"/>
    <w:rsid w:val="00893361"/>
    <w:rsid w:val="00893A8E"/>
    <w:rsid w:val="00893CE3"/>
    <w:rsid w:val="008941F8"/>
    <w:rsid w:val="0089639E"/>
    <w:rsid w:val="0089684C"/>
    <w:rsid w:val="008A328F"/>
    <w:rsid w:val="008A42EB"/>
    <w:rsid w:val="008A4E58"/>
    <w:rsid w:val="008A5709"/>
    <w:rsid w:val="008A6B7B"/>
    <w:rsid w:val="008B1A6F"/>
    <w:rsid w:val="008B35DA"/>
    <w:rsid w:val="008B6562"/>
    <w:rsid w:val="008B7C56"/>
    <w:rsid w:val="008C1BE0"/>
    <w:rsid w:val="008C5328"/>
    <w:rsid w:val="008C6844"/>
    <w:rsid w:val="008D03DD"/>
    <w:rsid w:val="008D1502"/>
    <w:rsid w:val="008D2E6B"/>
    <w:rsid w:val="008D3059"/>
    <w:rsid w:val="008D4078"/>
    <w:rsid w:val="008D44E2"/>
    <w:rsid w:val="008D52EA"/>
    <w:rsid w:val="008D5C1F"/>
    <w:rsid w:val="008D612C"/>
    <w:rsid w:val="008E0C90"/>
    <w:rsid w:val="008E340A"/>
    <w:rsid w:val="008E71FB"/>
    <w:rsid w:val="008F024A"/>
    <w:rsid w:val="008F0BDB"/>
    <w:rsid w:val="008F4CD3"/>
    <w:rsid w:val="008F58E9"/>
    <w:rsid w:val="008F62FB"/>
    <w:rsid w:val="008F79BB"/>
    <w:rsid w:val="00900B1D"/>
    <w:rsid w:val="00901C67"/>
    <w:rsid w:val="00903CC7"/>
    <w:rsid w:val="009058DF"/>
    <w:rsid w:val="00907722"/>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34EF"/>
    <w:rsid w:val="00954E13"/>
    <w:rsid w:val="00955098"/>
    <w:rsid w:val="00962A6D"/>
    <w:rsid w:val="009642C6"/>
    <w:rsid w:val="0096452B"/>
    <w:rsid w:val="0097035D"/>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7A44"/>
    <w:rsid w:val="009A1FC7"/>
    <w:rsid w:val="009A7254"/>
    <w:rsid w:val="009B2BF4"/>
    <w:rsid w:val="009B52A3"/>
    <w:rsid w:val="009B53BA"/>
    <w:rsid w:val="009B609B"/>
    <w:rsid w:val="009B6F4E"/>
    <w:rsid w:val="009B6FA5"/>
    <w:rsid w:val="009B70E4"/>
    <w:rsid w:val="009B74CD"/>
    <w:rsid w:val="009B7D84"/>
    <w:rsid w:val="009C4CAC"/>
    <w:rsid w:val="009D1F6F"/>
    <w:rsid w:val="009D38DB"/>
    <w:rsid w:val="009D3D0A"/>
    <w:rsid w:val="009D61EE"/>
    <w:rsid w:val="009D628E"/>
    <w:rsid w:val="009D62DE"/>
    <w:rsid w:val="009E0AD8"/>
    <w:rsid w:val="009E1F06"/>
    <w:rsid w:val="009E4F29"/>
    <w:rsid w:val="009E5DEF"/>
    <w:rsid w:val="009E6B6B"/>
    <w:rsid w:val="009F212C"/>
    <w:rsid w:val="009F3B36"/>
    <w:rsid w:val="009F79E3"/>
    <w:rsid w:val="00A01A52"/>
    <w:rsid w:val="00A02A0A"/>
    <w:rsid w:val="00A04717"/>
    <w:rsid w:val="00A04E49"/>
    <w:rsid w:val="00A0724B"/>
    <w:rsid w:val="00A10236"/>
    <w:rsid w:val="00A10B7E"/>
    <w:rsid w:val="00A11E9D"/>
    <w:rsid w:val="00A1598C"/>
    <w:rsid w:val="00A15EDE"/>
    <w:rsid w:val="00A163CB"/>
    <w:rsid w:val="00A22768"/>
    <w:rsid w:val="00A24789"/>
    <w:rsid w:val="00A25268"/>
    <w:rsid w:val="00A32785"/>
    <w:rsid w:val="00A34924"/>
    <w:rsid w:val="00A35F3F"/>
    <w:rsid w:val="00A3755F"/>
    <w:rsid w:val="00A40234"/>
    <w:rsid w:val="00A4496C"/>
    <w:rsid w:val="00A511D4"/>
    <w:rsid w:val="00A51BDA"/>
    <w:rsid w:val="00A52FED"/>
    <w:rsid w:val="00A547EA"/>
    <w:rsid w:val="00A54EE3"/>
    <w:rsid w:val="00A60040"/>
    <w:rsid w:val="00A61125"/>
    <w:rsid w:val="00A64033"/>
    <w:rsid w:val="00A65635"/>
    <w:rsid w:val="00A66230"/>
    <w:rsid w:val="00A666E6"/>
    <w:rsid w:val="00A66B33"/>
    <w:rsid w:val="00A706DE"/>
    <w:rsid w:val="00A70BEA"/>
    <w:rsid w:val="00A714E4"/>
    <w:rsid w:val="00A7226B"/>
    <w:rsid w:val="00A74C23"/>
    <w:rsid w:val="00A77E2C"/>
    <w:rsid w:val="00A80575"/>
    <w:rsid w:val="00A806B3"/>
    <w:rsid w:val="00A80E57"/>
    <w:rsid w:val="00A82337"/>
    <w:rsid w:val="00A829E8"/>
    <w:rsid w:val="00A90118"/>
    <w:rsid w:val="00A90821"/>
    <w:rsid w:val="00A928C5"/>
    <w:rsid w:val="00A94CCD"/>
    <w:rsid w:val="00A955A3"/>
    <w:rsid w:val="00A958C2"/>
    <w:rsid w:val="00A95C9E"/>
    <w:rsid w:val="00A965CD"/>
    <w:rsid w:val="00A96933"/>
    <w:rsid w:val="00A97D34"/>
    <w:rsid w:val="00AA175E"/>
    <w:rsid w:val="00AA1B3F"/>
    <w:rsid w:val="00AA565B"/>
    <w:rsid w:val="00AA6572"/>
    <w:rsid w:val="00AA6DE0"/>
    <w:rsid w:val="00AB0EDD"/>
    <w:rsid w:val="00AB238D"/>
    <w:rsid w:val="00AC5DC1"/>
    <w:rsid w:val="00AD1275"/>
    <w:rsid w:val="00AD2447"/>
    <w:rsid w:val="00AD56BA"/>
    <w:rsid w:val="00AE02B3"/>
    <w:rsid w:val="00AE4294"/>
    <w:rsid w:val="00AE523D"/>
    <w:rsid w:val="00AE5941"/>
    <w:rsid w:val="00AE7E72"/>
    <w:rsid w:val="00AF00B0"/>
    <w:rsid w:val="00AF0B6E"/>
    <w:rsid w:val="00AF0C1B"/>
    <w:rsid w:val="00AF1152"/>
    <w:rsid w:val="00AF20DE"/>
    <w:rsid w:val="00AF2C7E"/>
    <w:rsid w:val="00AF337C"/>
    <w:rsid w:val="00AF365B"/>
    <w:rsid w:val="00AF3BC9"/>
    <w:rsid w:val="00B0152E"/>
    <w:rsid w:val="00B0159E"/>
    <w:rsid w:val="00B06F77"/>
    <w:rsid w:val="00B11D63"/>
    <w:rsid w:val="00B17EA4"/>
    <w:rsid w:val="00B2401D"/>
    <w:rsid w:val="00B271E2"/>
    <w:rsid w:val="00B27F1E"/>
    <w:rsid w:val="00B31E75"/>
    <w:rsid w:val="00B320E0"/>
    <w:rsid w:val="00B32D83"/>
    <w:rsid w:val="00B35A2B"/>
    <w:rsid w:val="00B3629C"/>
    <w:rsid w:val="00B40143"/>
    <w:rsid w:val="00B44598"/>
    <w:rsid w:val="00B44C87"/>
    <w:rsid w:val="00B45127"/>
    <w:rsid w:val="00B47772"/>
    <w:rsid w:val="00B525E7"/>
    <w:rsid w:val="00B5298A"/>
    <w:rsid w:val="00B52BC2"/>
    <w:rsid w:val="00B54B9E"/>
    <w:rsid w:val="00B5655B"/>
    <w:rsid w:val="00B602C0"/>
    <w:rsid w:val="00B639CC"/>
    <w:rsid w:val="00B64CD2"/>
    <w:rsid w:val="00B65AA6"/>
    <w:rsid w:val="00B67A38"/>
    <w:rsid w:val="00B71010"/>
    <w:rsid w:val="00B736AC"/>
    <w:rsid w:val="00B753D4"/>
    <w:rsid w:val="00B777DB"/>
    <w:rsid w:val="00B804DA"/>
    <w:rsid w:val="00B83BD4"/>
    <w:rsid w:val="00B873B1"/>
    <w:rsid w:val="00B91C42"/>
    <w:rsid w:val="00BA6096"/>
    <w:rsid w:val="00BA6264"/>
    <w:rsid w:val="00BB0ED6"/>
    <w:rsid w:val="00BB1C0A"/>
    <w:rsid w:val="00BB4376"/>
    <w:rsid w:val="00BB4A45"/>
    <w:rsid w:val="00BB4B74"/>
    <w:rsid w:val="00BB6FED"/>
    <w:rsid w:val="00BC1740"/>
    <w:rsid w:val="00BC41B2"/>
    <w:rsid w:val="00BC45B6"/>
    <w:rsid w:val="00BC4F9E"/>
    <w:rsid w:val="00BE0799"/>
    <w:rsid w:val="00BE26D9"/>
    <w:rsid w:val="00BF1119"/>
    <w:rsid w:val="00BF3BFE"/>
    <w:rsid w:val="00BF5510"/>
    <w:rsid w:val="00C00C31"/>
    <w:rsid w:val="00C0155C"/>
    <w:rsid w:val="00C04C3E"/>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428"/>
    <w:rsid w:val="00C408D1"/>
    <w:rsid w:val="00C41ED9"/>
    <w:rsid w:val="00C44645"/>
    <w:rsid w:val="00C46293"/>
    <w:rsid w:val="00C50A3F"/>
    <w:rsid w:val="00C51474"/>
    <w:rsid w:val="00C51847"/>
    <w:rsid w:val="00C55C36"/>
    <w:rsid w:val="00C60ECE"/>
    <w:rsid w:val="00C61072"/>
    <w:rsid w:val="00C6137D"/>
    <w:rsid w:val="00C61540"/>
    <w:rsid w:val="00C61B0C"/>
    <w:rsid w:val="00C634E4"/>
    <w:rsid w:val="00C67C49"/>
    <w:rsid w:val="00C67D4C"/>
    <w:rsid w:val="00C706FA"/>
    <w:rsid w:val="00C71FD7"/>
    <w:rsid w:val="00C808FE"/>
    <w:rsid w:val="00C81D18"/>
    <w:rsid w:val="00C82258"/>
    <w:rsid w:val="00C82744"/>
    <w:rsid w:val="00C836D9"/>
    <w:rsid w:val="00C84109"/>
    <w:rsid w:val="00C843F0"/>
    <w:rsid w:val="00C85F66"/>
    <w:rsid w:val="00C87F51"/>
    <w:rsid w:val="00C95F0B"/>
    <w:rsid w:val="00C96EE4"/>
    <w:rsid w:val="00CA0CFD"/>
    <w:rsid w:val="00CA108E"/>
    <w:rsid w:val="00CA37C8"/>
    <w:rsid w:val="00CA5047"/>
    <w:rsid w:val="00CA7C2A"/>
    <w:rsid w:val="00CC1221"/>
    <w:rsid w:val="00CC339D"/>
    <w:rsid w:val="00CC4EE7"/>
    <w:rsid w:val="00CC6DD2"/>
    <w:rsid w:val="00CD4CC6"/>
    <w:rsid w:val="00CD58FA"/>
    <w:rsid w:val="00CD5C22"/>
    <w:rsid w:val="00CE363E"/>
    <w:rsid w:val="00CF0973"/>
    <w:rsid w:val="00CF1430"/>
    <w:rsid w:val="00CF1AE4"/>
    <w:rsid w:val="00CF43F0"/>
    <w:rsid w:val="00D0046C"/>
    <w:rsid w:val="00D00979"/>
    <w:rsid w:val="00D019CE"/>
    <w:rsid w:val="00D01E3B"/>
    <w:rsid w:val="00D05480"/>
    <w:rsid w:val="00D06EEA"/>
    <w:rsid w:val="00D11946"/>
    <w:rsid w:val="00D14F71"/>
    <w:rsid w:val="00D15612"/>
    <w:rsid w:val="00D156E5"/>
    <w:rsid w:val="00D17A89"/>
    <w:rsid w:val="00D20329"/>
    <w:rsid w:val="00D204BD"/>
    <w:rsid w:val="00D21619"/>
    <w:rsid w:val="00D21B1B"/>
    <w:rsid w:val="00D220B5"/>
    <w:rsid w:val="00D22799"/>
    <w:rsid w:val="00D26063"/>
    <w:rsid w:val="00D30FB0"/>
    <w:rsid w:val="00D32832"/>
    <w:rsid w:val="00D33AE4"/>
    <w:rsid w:val="00D33C76"/>
    <w:rsid w:val="00D34827"/>
    <w:rsid w:val="00D3642E"/>
    <w:rsid w:val="00D37490"/>
    <w:rsid w:val="00D41F8D"/>
    <w:rsid w:val="00D451AB"/>
    <w:rsid w:val="00D46F16"/>
    <w:rsid w:val="00D50991"/>
    <w:rsid w:val="00D578AF"/>
    <w:rsid w:val="00D61DA0"/>
    <w:rsid w:val="00D65D7A"/>
    <w:rsid w:val="00D66F2C"/>
    <w:rsid w:val="00D6793A"/>
    <w:rsid w:val="00D723A5"/>
    <w:rsid w:val="00D7347C"/>
    <w:rsid w:val="00D74D7F"/>
    <w:rsid w:val="00D75348"/>
    <w:rsid w:val="00D80F6F"/>
    <w:rsid w:val="00D820E3"/>
    <w:rsid w:val="00D863C9"/>
    <w:rsid w:val="00D9342C"/>
    <w:rsid w:val="00D944CB"/>
    <w:rsid w:val="00DA326B"/>
    <w:rsid w:val="00DA3BCE"/>
    <w:rsid w:val="00DA59FA"/>
    <w:rsid w:val="00DA7343"/>
    <w:rsid w:val="00DB1157"/>
    <w:rsid w:val="00DB295F"/>
    <w:rsid w:val="00DB29E4"/>
    <w:rsid w:val="00DB3826"/>
    <w:rsid w:val="00DB47DC"/>
    <w:rsid w:val="00DB74F2"/>
    <w:rsid w:val="00DC205C"/>
    <w:rsid w:val="00DC5687"/>
    <w:rsid w:val="00DC6575"/>
    <w:rsid w:val="00DC72C3"/>
    <w:rsid w:val="00DC7A5D"/>
    <w:rsid w:val="00DD00EF"/>
    <w:rsid w:val="00DD0C82"/>
    <w:rsid w:val="00DD1CF8"/>
    <w:rsid w:val="00DD6102"/>
    <w:rsid w:val="00DD71F1"/>
    <w:rsid w:val="00DE00C5"/>
    <w:rsid w:val="00DE3FB5"/>
    <w:rsid w:val="00DE5ACC"/>
    <w:rsid w:val="00DF169E"/>
    <w:rsid w:val="00DF21B3"/>
    <w:rsid w:val="00DF2749"/>
    <w:rsid w:val="00DF60A6"/>
    <w:rsid w:val="00E00D0A"/>
    <w:rsid w:val="00E05B5A"/>
    <w:rsid w:val="00E05F1B"/>
    <w:rsid w:val="00E07B93"/>
    <w:rsid w:val="00E07E15"/>
    <w:rsid w:val="00E1354A"/>
    <w:rsid w:val="00E161F8"/>
    <w:rsid w:val="00E261A4"/>
    <w:rsid w:val="00E26EE5"/>
    <w:rsid w:val="00E32815"/>
    <w:rsid w:val="00E33554"/>
    <w:rsid w:val="00E40596"/>
    <w:rsid w:val="00E40BA9"/>
    <w:rsid w:val="00E41B77"/>
    <w:rsid w:val="00E41F83"/>
    <w:rsid w:val="00E45EC3"/>
    <w:rsid w:val="00E47C4F"/>
    <w:rsid w:val="00E53BBB"/>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192D"/>
    <w:rsid w:val="00EB3BA4"/>
    <w:rsid w:val="00EB77CC"/>
    <w:rsid w:val="00EC0997"/>
    <w:rsid w:val="00EC2EEF"/>
    <w:rsid w:val="00EC5DDD"/>
    <w:rsid w:val="00ED2F39"/>
    <w:rsid w:val="00ED30F4"/>
    <w:rsid w:val="00ED43BB"/>
    <w:rsid w:val="00ED449A"/>
    <w:rsid w:val="00ED68E9"/>
    <w:rsid w:val="00EE1FC2"/>
    <w:rsid w:val="00EE419C"/>
    <w:rsid w:val="00EE7BE0"/>
    <w:rsid w:val="00EF52E8"/>
    <w:rsid w:val="00EF670C"/>
    <w:rsid w:val="00F0786C"/>
    <w:rsid w:val="00F112B1"/>
    <w:rsid w:val="00F1132A"/>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9CC"/>
    <w:rsid w:val="00F46F4A"/>
    <w:rsid w:val="00F52CE1"/>
    <w:rsid w:val="00F57917"/>
    <w:rsid w:val="00F60788"/>
    <w:rsid w:val="00F7063D"/>
    <w:rsid w:val="00F70C88"/>
    <w:rsid w:val="00F7168A"/>
    <w:rsid w:val="00F734AD"/>
    <w:rsid w:val="00F745D9"/>
    <w:rsid w:val="00F76618"/>
    <w:rsid w:val="00F76E42"/>
    <w:rsid w:val="00F81D1B"/>
    <w:rsid w:val="00F8220D"/>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5241"/>
    <w:rsid w:val="00FB695B"/>
    <w:rsid w:val="00FC037E"/>
    <w:rsid w:val="00FC19B9"/>
    <w:rsid w:val="00FC2397"/>
    <w:rsid w:val="00FC4DE3"/>
    <w:rsid w:val="00FC6716"/>
    <w:rsid w:val="00FD00A5"/>
    <w:rsid w:val="00FD2151"/>
    <w:rsid w:val="00FD4B0F"/>
    <w:rsid w:val="00FD7E82"/>
    <w:rsid w:val="00FE0661"/>
    <w:rsid w:val="00FE25A0"/>
    <w:rsid w:val="00FF0C09"/>
    <w:rsid w:val="00FF1D34"/>
    <w:rsid w:val="00FF1DD7"/>
    <w:rsid w:val="00FF3775"/>
    <w:rsid w:val="00FF3996"/>
    <w:rsid w:val="00FF3C19"/>
    <w:rsid w:val="01CE5D1C"/>
    <w:rsid w:val="026475DE"/>
    <w:rsid w:val="039E595D"/>
    <w:rsid w:val="06E15F8D"/>
    <w:rsid w:val="070F07F6"/>
    <w:rsid w:val="0765096C"/>
    <w:rsid w:val="08083403"/>
    <w:rsid w:val="081B538F"/>
    <w:rsid w:val="081C3970"/>
    <w:rsid w:val="09BE5E2A"/>
    <w:rsid w:val="0A091F73"/>
    <w:rsid w:val="0A8504E9"/>
    <w:rsid w:val="0AF54E47"/>
    <w:rsid w:val="0B073D25"/>
    <w:rsid w:val="0BC8396B"/>
    <w:rsid w:val="0C9D4EAB"/>
    <w:rsid w:val="0D92619C"/>
    <w:rsid w:val="0DEA65B5"/>
    <w:rsid w:val="0F412CA9"/>
    <w:rsid w:val="0FD566D2"/>
    <w:rsid w:val="139E0D62"/>
    <w:rsid w:val="13B2170D"/>
    <w:rsid w:val="13B97480"/>
    <w:rsid w:val="14034EB5"/>
    <w:rsid w:val="14870494"/>
    <w:rsid w:val="15085E8C"/>
    <w:rsid w:val="15174F60"/>
    <w:rsid w:val="15554E6B"/>
    <w:rsid w:val="1556095A"/>
    <w:rsid w:val="167D7F24"/>
    <w:rsid w:val="17306AB5"/>
    <w:rsid w:val="17373F64"/>
    <w:rsid w:val="19534DA3"/>
    <w:rsid w:val="19A054D6"/>
    <w:rsid w:val="1A3E119A"/>
    <w:rsid w:val="1B0717C8"/>
    <w:rsid w:val="1BA03836"/>
    <w:rsid w:val="1BE33681"/>
    <w:rsid w:val="1DCB4E4A"/>
    <w:rsid w:val="1E1467F1"/>
    <w:rsid w:val="1FBDA86D"/>
    <w:rsid w:val="201C4722"/>
    <w:rsid w:val="207417C9"/>
    <w:rsid w:val="21862EC6"/>
    <w:rsid w:val="237833F5"/>
    <w:rsid w:val="237A2B2A"/>
    <w:rsid w:val="242D2C2D"/>
    <w:rsid w:val="25FBCF81"/>
    <w:rsid w:val="28FB2A87"/>
    <w:rsid w:val="2C4F36F5"/>
    <w:rsid w:val="2D5F22BD"/>
    <w:rsid w:val="2FF37D11"/>
    <w:rsid w:val="3013049D"/>
    <w:rsid w:val="30EE254F"/>
    <w:rsid w:val="332C3D99"/>
    <w:rsid w:val="334836EB"/>
    <w:rsid w:val="33484B1B"/>
    <w:rsid w:val="339259E4"/>
    <w:rsid w:val="365875C5"/>
    <w:rsid w:val="37A0313C"/>
    <w:rsid w:val="39356049"/>
    <w:rsid w:val="3B4E60E4"/>
    <w:rsid w:val="3BFE2074"/>
    <w:rsid w:val="3F8C7277"/>
    <w:rsid w:val="3FA0222F"/>
    <w:rsid w:val="3FDF106E"/>
    <w:rsid w:val="42C133BC"/>
    <w:rsid w:val="42D769B6"/>
    <w:rsid w:val="43545BA2"/>
    <w:rsid w:val="44F600D3"/>
    <w:rsid w:val="45617704"/>
    <w:rsid w:val="459B4F7E"/>
    <w:rsid w:val="48B048DB"/>
    <w:rsid w:val="4A4831FA"/>
    <w:rsid w:val="4A687A06"/>
    <w:rsid w:val="4ADB0EA5"/>
    <w:rsid w:val="4B615269"/>
    <w:rsid w:val="4B7C707F"/>
    <w:rsid w:val="4B8C0594"/>
    <w:rsid w:val="4BDFF161"/>
    <w:rsid w:val="4C0F7B1B"/>
    <w:rsid w:val="4C887636"/>
    <w:rsid w:val="4CFE380A"/>
    <w:rsid w:val="4D862B8C"/>
    <w:rsid w:val="4DFF35F5"/>
    <w:rsid w:val="4EBF1B1D"/>
    <w:rsid w:val="4EF47599"/>
    <w:rsid w:val="4FE3578A"/>
    <w:rsid w:val="52D33D0F"/>
    <w:rsid w:val="5382777D"/>
    <w:rsid w:val="53CF9561"/>
    <w:rsid w:val="546121C6"/>
    <w:rsid w:val="54E94B5B"/>
    <w:rsid w:val="55661639"/>
    <w:rsid w:val="55761622"/>
    <w:rsid w:val="5BD857FA"/>
    <w:rsid w:val="5C080481"/>
    <w:rsid w:val="5D1B4C6E"/>
    <w:rsid w:val="5DFE65DB"/>
    <w:rsid w:val="5E202145"/>
    <w:rsid w:val="5F621BCD"/>
    <w:rsid w:val="6031647B"/>
    <w:rsid w:val="60B9109D"/>
    <w:rsid w:val="62F74A7A"/>
    <w:rsid w:val="63383CF5"/>
    <w:rsid w:val="63BB5260"/>
    <w:rsid w:val="63D25BB7"/>
    <w:rsid w:val="64C23E7D"/>
    <w:rsid w:val="65EE9BF0"/>
    <w:rsid w:val="668E2223"/>
    <w:rsid w:val="672F3320"/>
    <w:rsid w:val="67FFD309"/>
    <w:rsid w:val="683026D9"/>
    <w:rsid w:val="693F388B"/>
    <w:rsid w:val="69FFFC0A"/>
    <w:rsid w:val="6D6B2492"/>
    <w:rsid w:val="6DBA21A1"/>
    <w:rsid w:val="6F136B04"/>
    <w:rsid w:val="70F76AB0"/>
    <w:rsid w:val="7304780E"/>
    <w:rsid w:val="73047D8C"/>
    <w:rsid w:val="73731F46"/>
    <w:rsid w:val="75BB73CE"/>
    <w:rsid w:val="75ED0344"/>
    <w:rsid w:val="78AF3D07"/>
    <w:rsid w:val="7AB14320"/>
    <w:rsid w:val="7AF5051C"/>
    <w:rsid w:val="7BBA680A"/>
    <w:rsid w:val="7BE826AE"/>
    <w:rsid w:val="7BF3368A"/>
    <w:rsid w:val="7CCF532E"/>
    <w:rsid w:val="7CD67231"/>
    <w:rsid w:val="7DF033B2"/>
    <w:rsid w:val="7E00338F"/>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semiHidden/>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table" w:styleId="afb">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c">
    <w:name w:val="Hyperlink"/>
    <w:basedOn w:val="af3"/>
    <w:uiPriority w:val="99"/>
    <w:unhideWhenUsed/>
    <w:qFormat/>
    <w:rPr>
      <w:color w:val="0000FF"/>
      <w:u w:val="single"/>
    </w:r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spacing w:before="50" w:after="50"/>
      <w:outlineLvl w:val="3"/>
    </w:pPr>
  </w:style>
  <w:style w:type="paragraph" w:customStyle="1" w:styleId="aff1">
    <w:name w:val="三级条标题"/>
    <w:basedOn w:val="aff0"/>
    <w:next w:val="afd"/>
    <w:qFormat/>
    <w:pPr>
      <w:outlineLvl w:val="4"/>
    </w:pPr>
  </w:style>
  <w:style w:type="paragraph" w:customStyle="1" w:styleId="aff2">
    <w:name w:val="四级条标题"/>
    <w:basedOn w:val="aff1"/>
    <w:next w:val="afd"/>
    <w:qFormat/>
    <w:pPr>
      <w:outlineLvl w:val="5"/>
    </w:pPr>
  </w:style>
  <w:style w:type="paragraph" w:customStyle="1" w:styleId="aff3">
    <w:name w:val="五级条标题"/>
    <w:basedOn w:val="aff2"/>
    <w:next w:val="afd"/>
    <w:qFormat/>
    <w:pPr>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styleId="aff4">
    <w:name w:val="List Paragraph"/>
    <w:basedOn w:val="af2"/>
    <w:uiPriority w:val="34"/>
    <w:unhideWhenUsed/>
    <w:qFormat/>
    <w:pPr>
      <w:ind w:firstLine="420"/>
    </w:pPr>
  </w:style>
  <w:style w:type="paragraph" w:customStyle="1" w:styleId="aff5">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6">
    <w:name w:val="发布"/>
    <w:qFormat/>
    <w:rPr>
      <w:rFonts w:ascii="黑体" w:eastAsia="黑体"/>
      <w:spacing w:val="22"/>
      <w:w w:val="100"/>
      <w:position w:val="3"/>
      <w:sz w:val="28"/>
    </w:rPr>
  </w:style>
  <w:style w:type="paragraph" w:customStyle="1" w:styleId="aff7">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8">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8"/>
    <w:qFormat/>
    <w:pPr>
      <w:numPr>
        <w:ilvl w:val="2"/>
      </w:numPr>
      <w:spacing w:beforeLines="50" w:before="50" w:afterLines="50" w:after="50"/>
      <w:outlineLvl w:val="1"/>
    </w:pPr>
  </w:style>
  <w:style w:type="paragraph" w:customStyle="1" w:styleId="af0">
    <w:name w:val="标准文件_章标题"/>
    <w:next w:val="aff8"/>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font61">
    <w:name w:val="font61"/>
    <w:basedOn w:val="af3"/>
    <w:qFormat/>
    <w:rPr>
      <w:rFonts w:ascii="Segoe UI" w:hAnsi="Segoe UI" w:cs="Segoe UI" w:hint="default"/>
      <w:color w:val="000000"/>
      <w:sz w:val="22"/>
      <w:szCs w:val="22"/>
      <w:u w:val="none"/>
    </w:rPr>
  </w:style>
  <w:style w:type="character" w:customStyle="1" w:styleId="font71">
    <w:name w:val="font71"/>
    <w:basedOn w:val="af3"/>
    <w:qFormat/>
    <w:rPr>
      <w:rFonts w:ascii="宋体" w:eastAsia="宋体" w:hAnsi="宋体" w:hint="eastAsia"/>
      <w:color w:val="000000"/>
      <w:sz w:val="22"/>
      <w:szCs w:val="22"/>
      <w:u w:val="none"/>
    </w:rPr>
  </w:style>
  <w:style w:type="character" w:customStyle="1" w:styleId="font21">
    <w:name w:val="font21"/>
    <w:basedOn w:val="af3"/>
    <w:qFormat/>
    <w:rPr>
      <w:rFonts w:ascii="宋体" w:eastAsia="宋体" w:hAnsi="宋体" w:hint="eastAsia"/>
      <w:color w:val="000000"/>
      <w:sz w:val="22"/>
      <w:szCs w:val="22"/>
      <w:u w:val="none"/>
      <w:vertAlign w:val="superscript"/>
    </w:rPr>
  </w:style>
  <w:style w:type="character" w:customStyle="1" w:styleId="font11">
    <w:name w:val="font11"/>
    <w:basedOn w:val="af3"/>
    <w:qFormat/>
    <w:rPr>
      <w:rFonts w:ascii="宋体" w:eastAsia="宋体" w:hAnsi="宋体" w:hint="eastAsia"/>
      <w:color w:val="000000"/>
      <w:sz w:val="22"/>
      <w:szCs w:val="22"/>
      <w:u w:val="none"/>
    </w:rPr>
  </w:style>
  <w:style w:type="character" w:customStyle="1" w:styleId="font31">
    <w:name w:val="font31"/>
    <w:basedOn w:val="af3"/>
    <w:qFormat/>
    <w:rPr>
      <w:rFonts w:ascii="Times New Roman" w:hAnsi="Times New Roman" w:cs="Times New Roman" w:hint="default"/>
      <w:color w:val="000000"/>
      <w:sz w:val="22"/>
      <w:szCs w:val="22"/>
      <w:u w:val="none"/>
    </w:rPr>
  </w:style>
  <w:style w:type="paragraph" w:customStyle="1" w:styleId="aff9">
    <w:name w:val="标准文件_表格"/>
    <w:basedOn w:val="aff8"/>
    <w:qFormat/>
    <w:rsid w:val="00243EA6"/>
    <w:pPr>
      <w:ind w:firstLineChars="0" w:firstLine="0"/>
      <w:jc w:val="center"/>
    </w:pPr>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semiHidden/>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table" w:styleId="afb">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c">
    <w:name w:val="Hyperlink"/>
    <w:basedOn w:val="af3"/>
    <w:uiPriority w:val="99"/>
    <w:unhideWhenUsed/>
    <w:qFormat/>
    <w:rPr>
      <w:color w:val="0000FF"/>
      <w:u w:val="single"/>
    </w:r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spacing w:before="50" w:after="50"/>
      <w:outlineLvl w:val="3"/>
    </w:pPr>
  </w:style>
  <w:style w:type="paragraph" w:customStyle="1" w:styleId="aff1">
    <w:name w:val="三级条标题"/>
    <w:basedOn w:val="aff0"/>
    <w:next w:val="afd"/>
    <w:qFormat/>
    <w:pPr>
      <w:outlineLvl w:val="4"/>
    </w:pPr>
  </w:style>
  <w:style w:type="paragraph" w:customStyle="1" w:styleId="aff2">
    <w:name w:val="四级条标题"/>
    <w:basedOn w:val="aff1"/>
    <w:next w:val="afd"/>
    <w:qFormat/>
    <w:pPr>
      <w:outlineLvl w:val="5"/>
    </w:pPr>
  </w:style>
  <w:style w:type="paragraph" w:customStyle="1" w:styleId="aff3">
    <w:name w:val="五级条标题"/>
    <w:basedOn w:val="aff2"/>
    <w:next w:val="afd"/>
    <w:qFormat/>
    <w:pPr>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styleId="aff4">
    <w:name w:val="List Paragraph"/>
    <w:basedOn w:val="af2"/>
    <w:uiPriority w:val="34"/>
    <w:unhideWhenUsed/>
    <w:qFormat/>
    <w:pPr>
      <w:ind w:firstLine="420"/>
    </w:pPr>
  </w:style>
  <w:style w:type="paragraph" w:customStyle="1" w:styleId="aff5">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6">
    <w:name w:val="发布"/>
    <w:qFormat/>
    <w:rPr>
      <w:rFonts w:ascii="黑体" w:eastAsia="黑体"/>
      <w:spacing w:val="22"/>
      <w:w w:val="100"/>
      <w:position w:val="3"/>
      <w:sz w:val="28"/>
    </w:rPr>
  </w:style>
  <w:style w:type="paragraph" w:customStyle="1" w:styleId="aff7">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8">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8"/>
    <w:qFormat/>
    <w:pPr>
      <w:numPr>
        <w:ilvl w:val="2"/>
      </w:numPr>
      <w:spacing w:beforeLines="50" w:before="50" w:afterLines="50" w:after="50"/>
      <w:outlineLvl w:val="1"/>
    </w:pPr>
  </w:style>
  <w:style w:type="paragraph" w:customStyle="1" w:styleId="af0">
    <w:name w:val="标准文件_章标题"/>
    <w:next w:val="aff8"/>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font61">
    <w:name w:val="font61"/>
    <w:basedOn w:val="af3"/>
    <w:qFormat/>
    <w:rPr>
      <w:rFonts w:ascii="Segoe UI" w:hAnsi="Segoe UI" w:cs="Segoe UI" w:hint="default"/>
      <w:color w:val="000000"/>
      <w:sz w:val="22"/>
      <w:szCs w:val="22"/>
      <w:u w:val="none"/>
    </w:rPr>
  </w:style>
  <w:style w:type="character" w:customStyle="1" w:styleId="font71">
    <w:name w:val="font71"/>
    <w:basedOn w:val="af3"/>
    <w:qFormat/>
    <w:rPr>
      <w:rFonts w:ascii="宋体" w:eastAsia="宋体" w:hAnsi="宋体" w:hint="eastAsia"/>
      <w:color w:val="000000"/>
      <w:sz w:val="22"/>
      <w:szCs w:val="22"/>
      <w:u w:val="none"/>
    </w:rPr>
  </w:style>
  <w:style w:type="character" w:customStyle="1" w:styleId="font21">
    <w:name w:val="font21"/>
    <w:basedOn w:val="af3"/>
    <w:qFormat/>
    <w:rPr>
      <w:rFonts w:ascii="宋体" w:eastAsia="宋体" w:hAnsi="宋体" w:hint="eastAsia"/>
      <w:color w:val="000000"/>
      <w:sz w:val="22"/>
      <w:szCs w:val="22"/>
      <w:u w:val="none"/>
      <w:vertAlign w:val="superscript"/>
    </w:rPr>
  </w:style>
  <w:style w:type="character" w:customStyle="1" w:styleId="font11">
    <w:name w:val="font11"/>
    <w:basedOn w:val="af3"/>
    <w:qFormat/>
    <w:rPr>
      <w:rFonts w:ascii="宋体" w:eastAsia="宋体" w:hAnsi="宋体" w:hint="eastAsia"/>
      <w:color w:val="000000"/>
      <w:sz w:val="22"/>
      <w:szCs w:val="22"/>
      <w:u w:val="none"/>
    </w:rPr>
  </w:style>
  <w:style w:type="character" w:customStyle="1" w:styleId="font31">
    <w:name w:val="font31"/>
    <w:basedOn w:val="af3"/>
    <w:qFormat/>
    <w:rPr>
      <w:rFonts w:ascii="Times New Roman" w:hAnsi="Times New Roman" w:cs="Times New Roman" w:hint="default"/>
      <w:color w:val="000000"/>
      <w:sz w:val="22"/>
      <w:szCs w:val="22"/>
      <w:u w:val="none"/>
    </w:rPr>
  </w:style>
  <w:style w:type="paragraph" w:customStyle="1" w:styleId="aff9">
    <w:name w:val="标准文件_表格"/>
    <w:basedOn w:val="aff8"/>
    <w:qFormat/>
    <w:rsid w:val="00243EA6"/>
    <w:pPr>
      <w:ind w:firstLineChars="0" w:firstLine="0"/>
      <w:jc w:val="center"/>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388</TotalTime>
  <Pages>23</Pages>
  <Words>1854</Words>
  <Characters>10568</Characters>
  <Application>Microsoft Office Word</Application>
  <DocSecurity>0</DocSecurity>
  <Lines>88</Lines>
  <Paragraphs>24</Paragraphs>
  <ScaleCrop>false</ScaleCrop>
  <Company>WWW.YlmF.CoM</Company>
  <LinksUpToDate>false</LinksUpToDate>
  <CharactersWithSpaces>12398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112</cp:revision>
  <cp:lastPrinted>2025-01-15T04:51:00Z</cp:lastPrinted>
  <dcterms:created xsi:type="dcterms:W3CDTF">2025-02-19T02:46:00Z</dcterms:created>
  <dcterms:modified xsi:type="dcterms:W3CDTF">2026-02-27T07:37:00Z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D0C8BD233A53499683B942DB3185C8E2_13</vt:lpwstr>
  </property>
  <property fmtid="{D5CDD505-2E9C-101B-9397-08002B2CF9AE}" pid="4" name="KSOTemplateDocerSaveRecord">
    <vt:lpwstr>eyJoZGlkIjoiNjkyMTI5YmM0YzdhN2UwZWQ0YzkxMTQ1ZWZjNWYyZDYiLCJ1c2VySWQiOiIzMTg4MTI4NjAifQ==</vt:lpwstr>
  </property>
</Properties>
</file>